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14B1E9CA"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18542A">
        <w:rPr>
          <w:bCs/>
          <w:noProof w:val="0"/>
          <w:sz w:val="24"/>
          <w:szCs w:val="24"/>
        </w:rPr>
        <w:t>3</w:t>
      </w:r>
      <w:r w:rsidR="004E7553">
        <w:rPr>
          <w:bCs/>
          <w:noProof w:val="0"/>
          <w:sz w:val="24"/>
          <w:szCs w:val="24"/>
        </w:rPr>
        <w:t>bis</w:t>
      </w:r>
      <w:r w:rsidRPr="00B266B0">
        <w:rPr>
          <w:bCs/>
          <w:noProof w:val="0"/>
          <w:sz w:val="24"/>
          <w:szCs w:val="24"/>
        </w:rPr>
        <w:tab/>
      </w:r>
      <w:r w:rsidRPr="00C91C6F">
        <w:rPr>
          <w:sz w:val="24"/>
          <w:szCs w:val="24"/>
        </w:rPr>
        <w:t>R2-</w:t>
      </w:r>
      <w:r w:rsidR="003F7204" w:rsidRPr="00C91C6F">
        <w:rPr>
          <w:sz w:val="24"/>
          <w:szCs w:val="24"/>
        </w:rPr>
        <w:t>23</w:t>
      </w:r>
      <w:r w:rsidR="003F7204">
        <w:rPr>
          <w:sz w:val="24"/>
          <w:szCs w:val="24"/>
        </w:rPr>
        <w:t>11210</w:t>
      </w:r>
    </w:p>
    <w:p w14:paraId="11776FA6" w14:textId="1D9E6582" w:rsidR="00A209D6" w:rsidRPr="00465587" w:rsidRDefault="004E7553" w:rsidP="00A209D6">
      <w:pPr>
        <w:pStyle w:val="Header"/>
        <w:tabs>
          <w:tab w:val="right" w:pos="9639"/>
        </w:tabs>
        <w:rPr>
          <w:rFonts w:eastAsia="SimSun"/>
          <w:bCs/>
          <w:sz w:val="24"/>
          <w:szCs w:val="24"/>
          <w:lang w:eastAsia="zh-CN"/>
        </w:rPr>
      </w:pPr>
      <w:r>
        <w:rPr>
          <w:rFonts w:eastAsia="SimSun"/>
          <w:bCs/>
          <w:sz w:val="24"/>
          <w:szCs w:val="24"/>
          <w:lang w:eastAsia="zh-CN"/>
        </w:rPr>
        <w:t>Xiamen</w:t>
      </w:r>
      <w:r w:rsidR="00537809" w:rsidRPr="002240E0">
        <w:rPr>
          <w:rFonts w:eastAsia="SimSun"/>
          <w:bCs/>
          <w:sz w:val="24"/>
          <w:szCs w:val="24"/>
          <w:lang w:eastAsia="zh-CN"/>
        </w:rPr>
        <w:t xml:space="preserve">, </w:t>
      </w:r>
      <w:r>
        <w:rPr>
          <w:rFonts w:eastAsia="SimSun"/>
          <w:bCs/>
          <w:sz w:val="24"/>
          <w:szCs w:val="24"/>
          <w:lang w:eastAsia="zh-CN"/>
        </w:rPr>
        <w:t>China</w:t>
      </w:r>
      <w:r w:rsidR="00537809" w:rsidRPr="002240E0">
        <w:rPr>
          <w:rFonts w:eastAsia="SimSun"/>
          <w:bCs/>
          <w:sz w:val="24"/>
          <w:szCs w:val="24"/>
          <w:lang w:eastAsia="zh-CN"/>
        </w:rPr>
        <w:t xml:space="preserve">, </w:t>
      </w:r>
      <w:r>
        <w:rPr>
          <w:rFonts w:eastAsia="SimSun"/>
          <w:bCs/>
          <w:sz w:val="24"/>
          <w:szCs w:val="24"/>
          <w:lang w:eastAsia="zh-CN"/>
        </w:rPr>
        <w:t>09</w:t>
      </w:r>
      <w:r w:rsidR="0018542A">
        <w:rPr>
          <w:rFonts w:eastAsia="SimSun"/>
          <w:bCs/>
          <w:sz w:val="24"/>
          <w:szCs w:val="24"/>
          <w:lang w:eastAsia="zh-CN"/>
        </w:rPr>
        <w:t xml:space="preserve"> </w:t>
      </w:r>
      <w:r w:rsidR="00537809" w:rsidRPr="002240E0">
        <w:rPr>
          <w:rFonts w:eastAsia="SimSun"/>
          <w:bCs/>
          <w:sz w:val="24"/>
          <w:szCs w:val="24"/>
          <w:lang w:eastAsia="zh-CN"/>
        </w:rPr>
        <w:t xml:space="preserve">– </w:t>
      </w:r>
      <w:r>
        <w:rPr>
          <w:rFonts w:eastAsia="SimSun"/>
          <w:bCs/>
          <w:sz w:val="24"/>
          <w:szCs w:val="24"/>
          <w:lang w:eastAsia="zh-CN"/>
        </w:rPr>
        <w:t>13</w:t>
      </w:r>
      <w:r w:rsidR="00537809" w:rsidRPr="002240E0">
        <w:rPr>
          <w:rFonts w:eastAsia="SimSun"/>
          <w:bCs/>
          <w:sz w:val="24"/>
          <w:szCs w:val="24"/>
          <w:lang w:eastAsia="zh-CN"/>
        </w:rPr>
        <w:t xml:space="preserve"> </w:t>
      </w:r>
      <w:r>
        <w:rPr>
          <w:rFonts w:eastAsia="SimSun"/>
          <w:bCs/>
          <w:sz w:val="24"/>
          <w:szCs w:val="24"/>
          <w:lang w:eastAsia="zh-CN"/>
        </w:rPr>
        <w:t>October</w:t>
      </w:r>
      <w:r w:rsidR="00537809" w:rsidRPr="002240E0">
        <w:rPr>
          <w:rFonts w:eastAsia="SimSun"/>
          <w:bCs/>
          <w:sz w:val="24"/>
          <w:szCs w:val="24"/>
          <w:lang w:eastAsia="zh-CN"/>
        </w:rPr>
        <w:t xml:space="preserve"> 202</w:t>
      </w:r>
      <w:r w:rsidR="00537809">
        <w:rPr>
          <w:rFonts w:eastAsia="SimSun"/>
          <w:bCs/>
          <w:sz w:val="24"/>
          <w:szCs w:val="24"/>
          <w:lang w:eastAsia="zh-CN"/>
        </w:rPr>
        <w:t>3</w:t>
      </w:r>
      <w:r w:rsidR="00A209D6">
        <w:rPr>
          <w:rFonts w:eastAsia="SimSun"/>
          <w:noProof w:val="0"/>
          <w:sz w:val="24"/>
          <w:szCs w:val="24"/>
          <w:lang w:eastAsia="zh-CN"/>
        </w:rPr>
        <w:tab/>
      </w:r>
    </w:p>
    <w:p w14:paraId="403CB9C0" w14:textId="4689EA93" w:rsidR="00A209D6" w:rsidRPr="00B266B0" w:rsidRDefault="00A209D6" w:rsidP="00A209D6">
      <w:pPr>
        <w:pStyle w:val="Header"/>
        <w:rPr>
          <w:sz w:val="24"/>
          <w:szCs w:val="24"/>
        </w:rPr>
      </w:pPr>
    </w:p>
    <w:p w14:paraId="49710F2C" w14:textId="77777777" w:rsidR="001239A9" w:rsidRPr="0045724B" w:rsidRDefault="001239A9" w:rsidP="001239A9">
      <w:pPr>
        <w:tabs>
          <w:tab w:val="left" w:pos="1985"/>
        </w:tabs>
        <w:ind w:left="1985" w:hanging="1985"/>
        <w:rPr>
          <w:rFonts w:ascii="Arial" w:hAnsi="Arial" w:cs="Arial"/>
          <w:b/>
          <w:bCs/>
          <w:sz w:val="24"/>
        </w:rPr>
      </w:pPr>
      <w:r w:rsidRPr="0045724B">
        <w:rPr>
          <w:rFonts w:ascii="Arial" w:hAnsi="Arial" w:cs="Arial"/>
          <w:b/>
          <w:bCs/>
          <w:sz w:val="24"/>
        </w:rPr>
        <w:t>Agenda item:</w:t>
      </w:r>
      <w:r w:rsidRPr="0045724B">
        <w:rPr>
          <w:rFonts w:ascii="Arial" w:hAnsi="Arial" w:cs="Arial"/>
          <w:b/>
          <w:bCs/>
          <w:sz w:val="24"/>
        </w:rPr>
        <w:tab/>
        <w:t>7.4.2.</w:t>
      </w:r>
      <w:r>
        <w:rPr>
          <w:rFonts w:ascii="Arial" w:hAnsi="Arial" w:cs="Arial"/>
          <w:b/>
          <w:bCs/>
          <w:sz w:val="24"/>
        </w:rPr>
        <w:t>1</w:t>
      </w:r>
    </w:p>
    <w:p w14:paraId="73188B46" w14:textId="78D7680C"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04AE781C" w:rsidR="00446C3A" w:rsidRDefault="00446C3A" w:rsidP="00446C3A">
      <w:pPr>
        <w:ind w:left="1985" w:hanging="1985"/>
        <w:rPr>
          <w:rFonts w:ascii="Arial" w:hAnsi="Arial" w:cs="Arial"/>
          <w:b/>
          <w:sz w:val="24"/>
          <w:szCs w:val="24"/>
        </w:rPr>
      </w:pPr>
      <w:r w:rsidRPr="29AFBE2A">
        <w:rPr>
          <w:rFonts w:ascii="Arial" w:hAnsi="Arial" w:cs="Arial"/>
          <w:b/>
          <w:sz w:val="24"/>
          <w:szCs w:val="24"/>
        </w:rPr>
        <w:t>Title:</w:t>
      </w:r>
      <w:r>
        <w:tab/>
      </w:r>
      <w:r w:rsidR="5CE1C46D" w:rsidRPr="29AFBE2A">
        <w:rPr>
          <w:rFonts w:ascii="Arial" w:hAnsi="Arial" w:cs="Arial"/>
          <w:b/>
          <w:bCs/>
          <w:sz w:val="24"/>
          <w:szCs w:val="24"/>
        </w:rPr>
        <w:t xml:space="preserve">LTM </w:t>
      </w:r>
      <w:r w:rsidR="00DF57B0" w:rsidRPr="29AFBE2A">
        <w:rPr>
          <w:rFonts w:ascii="Arial" w:hAnsi="Arial" w:cs="Arial"/>
          <w:b/>
          <w:sz w:val="24"/>
          <w:szCs w:val="24"/>
        </w:rPr>
        <w:t>Cell Switch</w:t>
      </w:r>
      <w:r w:rsidR="021C23CC" w:rsidRPr="29AFBE2A">
        <w:rPr>
          <w:rFonts w:ascii="Arial" w:hAnsi="Arial" w:cs="Arial"/>
          <w:b/>
          <w:bCs/>
          <w:sz w:val="24"/>
          <w:szCs w:val="24"/>
        </w:rPr>
        <w:t xml:space="preserve"> Aspects</w:t>
      </w:r>
    </w:p>
    <w:p w14:paraId="25F387E8" w14:textId="7ABF87AC" w:rsidR="00446C3A" w:rsidRPr="00B266B0" w:rsidRDefault="00446C3A" w:rsidP="00446C3A">
      <w:pPr>
        <w:ind w:left="1985" w:hanging="1985"/>
        <w:rPr>
          <w:rFonts w:ascii="Arial" w:eastAsia="Arial" w:hAnsi="Arial" w:cs="Arial"/>
          <w:sz w:val="24"/>
          <w:szCs w:val="24"/>
        </w:rPr>
      </w:pPr>
      <w:r w:rsidRPr="1FA03A62">
        <w:rPr>
          <w:rFonts w:ascii="Arial" w:hAnsi="Arial" w:cs="Arial"/>
          <w:b/>
          <w:sz w:val="24"/>
          <w:szCs w:val="24"/>
        </w:rPr>
        <w:t>WID/SID:</w:t>
      </w:r>
      <w:r>
        <w:tab/>
      </w:r>
      <w:r w:rsidR="5CB4D0F7" w:rsidRPr="1FA03A62">
        <w:rPr>
          <w:rFonts w:ascii="Arial" w:eastAsia="Arial" w:hAnsi="Arial" w:cs="Arial"/>
          <w:b/>
          <w:bCs/>
          <w:color w:val="000000" w:themeColor="text1"/>
          <w:sz w:val="24"/>
          <w:szCs w:val="24"/>
        </w:rPr>
        <w:t>NR_Mob_enh2-Core -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01CEA493" w:rsidR="00A209D6" w:rsidRDefault="00A209D6" w:rsidP="00A209D6">
      <w:pPr>
        <w:pStyle w:val="Heading1"/>
      </w:pPr>
      <w:r w:rsidRPr="006E13D1">
        <w:t>1</w:t>
      </w:r>
      <w:r w:rsidRPr="006E13D1">
        <w:tab/>
      </w:r>
      <w:r>
        <w:t>Introduction</w:t>
      </w:r>
    </w:p>
    <w:p w14:paraId="2DE92490" w14:textId="20C4C04E" w:rsidR="00546CF4" w:rsidRDefault="00191CD9" w:rsidP="00C91C6F">
      <w:pPr>
        <w:tabs>
          <w:tab w:val="center" w:pos="4820"/>
        </w:tabs>
        <w:spacing w:after="0"/>
        <w:rPr>
          <w:rStyle w:val="eop"/>
          <w:rFonts w:ascii="Arial" w:hAnsi="Arial"/>
          <w:color w:val="000000"/>
          <w:sz w:val="36"/>
          <w:shd w:val="clear" w:color="auto" w:fill="FFFFFF"/>
        </w:rPr>
      </w:pPr>
      <w:r>
        <w:rPr>
          <w:rStyle w:val="normaltextrun"/>
          <w:color w:val="000000"/>
          <w:shd w:val="clear" w:color="auto" w:fill="FFFFFF"/>
          <w:lang w:val="en-US"/>
        </w:rPr>
        <w:t>According to the agreements from RAN2#123 [</w:t>
      </w:r>
      <w:r w:rsidR="00782F10" w:rsidRPr="2A832F8E">
        <w:rPr>
          <w:rStyle w:val="normaltextrun"/>
          <w:color w:val="000000" w:themeColor="text1"/>
          <w:lang w:val="en-US"/>
        </w:rPr>
        <w:t>1</w:t>
      </w:r>
      <w:r>
        <w:rPr>
          <w:rStyle w:val="normaltextrun"/>
          <w:color w:val="000000"/>
          <w:shd w:val="clear" w:color="auto" w:fill="FFFFFF"/>
          <w:lang w:val="en-US"/>
        </w:rPr>
        <w:t>]:</w:t>
      </w:r>
      <w:r>
        <w:rPr>
          <w:rStyle w:val="eop"/>
          <w:color w:val="000000"/>
          <w:shd w:val="clear" w:color="auto" w:fill="FFFFFF"/>
        </w:rPr>
        <w:t> </w:t>
      </w:r>
    </w:p>
    <w:p w14:paraId="7B373FFC" w14:textId="77777777" w:rsidR="00546CF4" w:rsidRDefault="00546CF4" w:rsidP="00C91C6F">
      <w:pPr>
        <w:tabs>
          <w:tab w:val="center" w:pos="4820"/>
        </w:tabs>
        <w:spacing w:after="0"/>
        <w:rPr>
          <w:rStyle w:val="eop"/>
          <w:color w:val="000000"/>
          <w:shd w:val="clear" w:color="auto" w:fill="FFFFFF"/>
        </w:rPr>
      </w:pPr>
    </w:p>
    <w:tbl>
      <w:tblPr>
        <w:tblStyle w:val="TableGrid"/>
        <w:tblpPr w:leftFromText="180" w:rightFromText="180" w:vertAnchor="text" w:horzAnchor="margin" w:tblpYSpec="top"/>
        <w:tblW w:w="0" w:type="auto"/>
        <w:tblLook w:val="04A0" w:firstRow="1" w:lastRow="0" w:firstColumn="1" w:lastColumn="0" w:noHBand="0" w:noVBand="1"/>
      </w:tblPr>
      <w:tblGrid>
        <w:gridCol w:w="9631"/>
      </w:tblGrid>
      <w:tr w:rsidR="00546CF4" w14:paraId="2083EB12" w14:textId="77777777" w:rsidTr="00546CF4">
        <w:tc>
          <w:tcPr>
            <w:tcW w:w="9631" w:type="dxa"/>
          </w:tcPr>
          <w:p w14:paraId="24FD64A8" w14:textId="77777777" w:rsidR="00546CF4" w:rsidRDefault="00546CF4" w:rsidP="00C856FB">
            <w:pPr>
              <w:pStyle w:val="paragraph"/>
              <w:spacing w:before="0" w:beforeAutospacing="0" w:after="0" w:afterAutospacing="0"/>
              <w:jc w:val="both"/>
              <w:textAlignment w:val="baseline"/>
              <w:rPr>
                <w:rFonts w:ascii="Arial" w:hAnsi="Arial" w:cs="Arial"/>
                <w:sz w:val="22"/>
                <w:szCs w:val="22"/>
              </w:rPr>
            </w:pPr>
            <w:r>
              <w:rPr>
                <w:rStyle w:val="normaltextrun"/>
                <w:rFonts w:ascii="Arial" w:hAnsi="Arial" w:cs="Arial"/>
                <w:b/>
                <w:bCs/>
                <w:sz w:val="20"/>
                <w:szCs w:val="20"/>
                <w:lang w:val="en-US"/>
              </w:rPr>
              <w:t>RAN2#123</w:t>
            </w:r>
            <w:r>
              <w:rPr>
                <w:rStyle w:val="eop"/>
                <w:rFonts w:ascii="Arial" w:hAnsi="Arial" w:cs="Arial"/>
                <w:b/>
                <w:bCs/>
                <w:sz w:val="20"/>
                <w:szCs w:val="20"/>
              </w:rPr>
              <w:t> </w:t>
            </w:r>
            <w:r>
              <w:rPr>
                <w:rStyle w:val="eop"/>
                <w:rFonts w:ascii="Arial" w:hAnsi="Arial" w:cs="Arial"/>
                <w:sz w:val="20"/>
                <w:szCs w:val="20"/>
              </w:rPr>
              <w:t> </w:t>
            </w:r>
          </w:p>
          <w:p w14:paraId="280B382E" w14:textId="77777777" w:rsidR="00546CF4" w:rsidRDefault="00546CF4" w:rsidP="00C856FB">
            <w:pPr>
              <w:pStyle w:val="Agreement"/>
              <w:tabs>
                <w:tab w:val="clear" w:pos="5039"/>
                <w:tab w:val="num" w:pos="1619"/>
              </w:tabs>
              <w:ind w:left="1619"/>
              <w:rPr>
                <w:rFonts w:eastAsiaTheme="minorEastAsia"/>
              </w:rPr>
            </w:pPr>
            <w:r>
              <w:rPr>
                <w:rFonts w:eastAsiaTheme="minorEastAsia"/>
              </w:rPr>
              <w:t>Define</w:t>
            </w:r>
            <w:r>
              <w:t xml:space="preserve"> the association between CG occasion and beam in RRC and specify that the UE uses a CG occasion associated with the indicated beam in </w:t>
            </w:r>
            <w:proofErr w:type="gramStart"/>
            <w:r>
              <w:t>MAC</w:t>
            </w:r>
            <w:proofErr w:type="gramEnd"/>
          </w:p>
          <w:p w14:paraId="51770A90" w14:textId="77777777" w:rsidR="00546CF4" w:rsidRDefault="00546CF4" w:rsidP="00C856FB">
            <w:pPr>
              <w:pStyle w:val="Agreement"/>
              <w:tabs>
                <w:tab w:val="clear" w:pos="5039"/>
                <w:tab w:val="num" w:pos="1619"/>
              </w:tabs>
              <w:ind w:left="1619"/>
            </w:pPr>
            <w:r>
              <w:t>Observation: In cases for which it is desired that CG used for LTM is not used further once the UE has made the cell its new serving cell, it is assumed that the network could release Type1 CG resource on LTM completion (existing functionality)</w:t>
            </w:r>
          </w:p>
          <w:p w14:paraId="5EDD0596" w14:textId="77777777" w:rsidR="00546CF4" w:rsidRDefault="00546CF4" w:rsidP="00C91C6F">
            <w:pPr>
              <w:spacing w:after="0"/>
              <w:rPr>
                <w:lang w:eastAsia="en-GB"/>
              </w:rPr>
            </w:pPr>
          </w:p>
          <w:p w14:paraId="602C2C13" w14:textId="77777777" w:rsidR="00546CF4" w:rsidRDefault="00546CF4" w:rsidP="00C856FB">
            <w:pPr>
              <w:pStyle w:val="Agreement"/>
              <w:tabs>
                <w:tab w:val="clear" w:pos="5039"/>
                <w:tab w:val="num" w:pos="1619"/>
              </w:tabs>
              <w:ind w:left="1619"/>
            </w:pPr>
            <w:r>
              <w:t>It is up to UE implementation to handle the RACH initiation collisions where the early RACH is getting involved. No specification change can be foreseen.</w:t>
            </w:r>
          </w:p>
          <w:p w14:paraId="19A3B3EA" w14:textId="77777777" w:rsidR="00546CF4" w:rsidRDefault="00546CF4" w:rsidP="00C856FB">
            <w:pPr>
              <w:pStyle w:val="Agreement"/>
              <w:tabs>
                <w:tab w:val="clear" w:pos="5039"/>
                <w:tab w:val="num" w:pos="1619"/>
              </w:tabs>
              <w:ind w:left="1619"/>
            </w:pPr>
            <w:r>
              <w:t xml:space="preserve">R2 assumes </w:t>
            </w:r>
            <w:proofErr w:type="gramStart"/>
            <w:r>
              <w:t>For</w:t>
            </w:r>
            <w:proofErr w:type="gramEnd"/>
            <w:r>
              <w:t xml:space="preserve"> counting the power ramping step for early RACH, Reuse PREAMBLE_POWER_RAMPING_COUNTER</w:t>
            </w:r>
          </w:p>
          <w:p w14:paraId="3839D7C6" w14:textId="77777777" w:rsidR="00546CF4" w:rsidRDefault="00546CF4" w:rsidP="00C856FB">
            <w:pPr>
              <w:pStyle w:val="Agreement"/>
              <w:tabs>
                <w:tab w:val="clear" w:pos="5039"/>
                <w:tab w:val="num" w:pos="1619"/>
              </w:tabs>
              <w:ind w:left="1619"/>
            </w:pPr>
            <w:r>
              <w:t xml:space="preserve">FFS if UE transmits the preamble without the power ramping upon reception of PDCCH order with retransmission indication if preamble transmission encounter the LBT failure. </w:t>
            </w:r>
          </w:p>
          <w:p w14:paraId="1E179083" w14:textId="77777777" w:rsidR="00546CF4" w:rsidRDefault="00546CF4" w:rsidP="00C91C6F">
            <w:pPr>
              <w:spacing w:after="0"/>
              <w:rPr>
                <w:lang w:eastAsia="en-GB"/>
              </w:rPr>
            </w:pPr>
          </w:p>
          <w:p w14:paraId="090FB34E" w14:textId="77777777" w:rsidR="00546CF4" w:rsidRDefault="00546CF4" w:rsidP="00C856FB">
            <w:pPr>
              <w:pStyle w:val="Agreement"/>
              <w:tabs>
                <w:tab w:val="clear" w:pos="5039"/>
                <w:tab w:val="num" w:pos="1619"/>
              </w:tabs>
              <w:ind w:left="1619"/>
            </w:pPr>
            <w:r>
              <w:t xml:space="preserve">Will have CFRA resource related information field in LTM cell switch MAC CE (unless serious issues are found). </w:t>
            </w:r>
          </w:p>
          <w:p w14:paraId="3A5E7647" w14:textId="77777777" w:rsidR="00546CF4" w:rsidRDefault="00546CF4" w:rsidP="00C856FB">
            <w:pPr>
              <w:pStyle w:val="Doc-text2"/>
              <w:ind w:left="0" w:firstLine="0"/>
            </w:pPr>
          </w:p>
          <w:p w14:paraId="54EC4B72" w14:textId="77777777" w:rsidR="00546CF4" w:rsidRDefault="00546CF4" w:rsidP="00C856FB">
            <w:pPr>
              <w:pStyle w:val="Agreement"/>
              <w:tabs>
                <w:tab w:val="clear" w:pos="5039"/>
                <w:tab w:val="num" w:pos="1619"/>
              </w:tabs>
              <w:ind w:left="1619"/>
            </w:pPr>
            <w:r>
              <w:t>Not introduce UL grant related information field in LTM cell switch MAC CE.</w:t>
            </w:r>
          </w:p>
          <w:p w14:paraId="08174376" w14:textId="77777777" w:rsidR="00546CF4" w:rsidRDefault="00546CF4" w:rsidP="00C856FB">
            <w:pPr>
              <w:pStyle w:val="Agreement"/>
              <w:tabs>
                <w:tab w:val="clear" w:pos="5039"/>
                <w:tab w:val="num" w:pos="1619"/>
              </w:tabs>
              <w:ind w:left="1619"/>
            </w:pPr>
            <w:r>
              <w:t>Not introduce C-RNTI information field in LTM cell switch MAC CE.</w:t>
            </w:r>
          </w:p>
          <w:p w14:paraId="7F83C0AF" w14:textId="77777777" w:rsidR="00546CF4" w:rsidRDefault="00546CF4" w:rsidP="00C856FB">
            <w:pPr>
              <w:pStyle w:val="Agreement"/>
              <w:tabs>
                <w:tab w:val="clear" w:pos="5039"/>
                <w:tab w:val="num" w:pos="1619"/>
              </w:tabs>
              <w:ind w:left="1619"/>
            </w:pPr>
            <w:r>
              <w:t>Not introduce LTM supervisor timer value field in LTM cell switch MAC CE.</w:t>
            </w:r>
          </w:p>
          <w:p w14:paraId="7C83E9F7" w14:textId="77777777" w:rsidR="00546CF4" w:rsidRDefault="00546CF4" w:rsidP="00C856FB">
            <w:pPr>
              <w:pStyle w:val="Agreement"/>
              <w:tabs>
                <w:tab w:val="clear" w:pos="5039"/>
                <w:tab w:val="num" w:pos="1619"/>
              </w:tabs>
              <w:ind w:left="1619"/>
            </w:pPr>
            <w:r>
              <w:t>The size of “Target Configuration ID” field in the LTM Command MAC CE is 3-bits, and the maximum number of LTM candidate cells in RRC configuration is 8.</w:t>
            </w:r>
          </w:p>
          <w:p w14:paraId="6BB39440" w14:textId="77777777" w:rsidR="00546CF4" w:rsidRDefault="00546CF4" w:rsidP="00C91C6F">
            <w:pPr>
              <w:spacing w:after="0"/>
              <w:rPr>
                <w:lang w:eastAsia="en-GB"/>
              </w:rPr>
            </w:pPr>
          </w:p>
          <w:p w14:paraId="634B4E43" w14:textId="77777777" w:rsidR="00546CF4" w:rsidRDefault="00546CF4" w:rsidP="00C856FB">
            <w:pPr>
              <w:pStyle w:val="Agreement"/>
              <w:tabs>
                <w:tab w:val="clear" w:pos="5039"/>
                <w:tab w:val="num" w:pos="1619"/>
              </w:tabs>
              <w:ind w:left="1619"/>
            </w:pPr>
            <w:r w:rsidRPr="00401FAD">
              <w:t>The UE will do RACH-less</w:t>
            </w:r>
            <w:r>
              <w:t xml:space="preserve"> when: </w:t>
            </w:r>
          </w:p>
          <w:p w14:paraId="5B0659A6" w14:textId="77777777" w:rsidR="00546CF4" w:rsidRDefault="00546CF4" w:rsidP="00C856FB">
            <w:pPr>
              <w:pStyle w:val="Agreement"/>
              <w:numPr>
                <w:ilvl w:val="0"/>
                <w:numId w:val="0"/>
              </w:numPr>
              <w:ind w:left="1619"/>
            </w:pPr>
            <w:r>
              <w:t>- TA value is provided in the cell switch MAC CE (already agreed, TA=0 is assumed to be covered by this)</w:t>
            </w:r>
          </w:p>
          <w:p w14:paraId="1DAA1211" w14:textId="77777777" w:rsidR="00546CF4" w:rsidRPr="00191CD9" w:rsidRDefault="00546CF4" w:rsidP="00C856FB">
            <w:pPr>
              <w:pStyle w:val="Agreement"/>
              <w:numPr>
                <w:ilvl w:val="0"/>
                <w:numId w:val="0"/>
              </w:numPr>
              <w:ind w:left="1619"/>
            </w:pPr>
            <w:r>
              <w:t xml:space="preserve">- When the UE shall apply the same TA value as the source (already agreed) FFS how the UE knows this. </w:t>
            </w:r>
          </w:p>
        </w:tc>
      </w:tr>
    </w:tbl>
    <w:p w14:paraId="07A81AA4" w14:textId="43AABAD7" w:rsidR="00546CF4" w:rsidRPr="00C91C6F" w:rsidRDefault="00191CD9" w:rsidP="00546CF4">
      <w:r w:rsidRPr="00C91C6F">
        <w:t xml:space="preserve">This document discusses the aspects of the </w:t>
      </w:r>
      <w:r w:rsidR="00AA27D1" w:rsidRPr="00C91C6F">
        <w:t>cell switch</w:t>
      </w:r>
      <w:r w:rsidR="00DA2C39" w:rsidRPr="00C91C6F">
        <w:t xml:space="preserve"> for</w:t>
      </w:r>
      <w:r w:rsidRPr="00C91C6F">
        <w:t xml:space="preserve"> LTM, with a particular focus on </w:t>
      </w:r>
      <w:r w:rsidR="4DF18A1E" w:rsidRPr="00C91C6F">
        <w:t>the TA and UL grant validity at the time of the cell switch. The document also discusses aspects related to the TCI state activation command</w:t>
      </w:r>
      <w:r w:rsidR="0C3EA566" w:rsidRPr="00C91C6F">
        <w:t>, as well as</w:t>
      </w:r>
      <w:r w:rsidR="4DF18A1E" w:rsidRPr="00C91C6F">
        <w:t xml:space="preserve"> the BWP handling for the </w:t>
      </w:r>
      <w:r w:rsidR="682DE1AF" w:rsidRPr="00C91C6F">
        <w:t xml:space="preserve">activated </w:t>
      </w:r>
      <w:r w:rsidR="4DF18A1E" w:rsidRPr="00C91C6F">
        <w:t>TCI state</w:t>
      </w:r>
      <w:r w:rsidR="788BA721" w:rsidRPr="00C91C6F">
        <w:t>s.</w:t>
      </w:r>
      <w:r w:rsidR="788BA721" w:rsidRPr="275F64EC">
        <w:rPr>
          <w:rStyle w:val="scxw57250226"/>
          <w:color w:val="000000" w:themeColor="text1"/>
        </w:rPr>
        <w:t xml:space="preserve"> </w:t>
      </w:r>
    </w:p>
    <w:p w14:paraId="7D484B6E" w14:textId="48CF32EE" w:rsidR="009339CB" w:rsidRPr="006E13D1" w:rsidRDefault="009339CB" w:rsidP="009339CB">
      <w:pPr>
        <w:pStyle w:val="Heading1"/>
      </w:pPr>
      <w:r w:rsidRPr="006E13D1">
        <w:lastRenderedPageBreak/>
        <w:t>2</w:t>
      </w:r>
      <w:r w:rsidRPr="006E13D1">
        <w:tab/>
      </w:r>
      <w:r w:rsidR="0051270A">
        <w:t>Cell Switch</w:t>
      </w:r>
      <w:r w:rsidR="006A2683">
        <w:t xml:space="preserve"> Process</w:t>
      </w:r>
    </w:p>
    <w:p w14:paraId="714EB999" w14:textId="686F1A0F" w:rsidR="001A1FEC" w:rsidRDefault="001A1FEC" w:rsidP="001A1FEC">
      <w:pPr>
        <w:pStyle w:val="Heading2"/>
        <w:rPr>
          <w:lang w:val="en-US"/>
        </w:rPr>
      </w:pPr>
      <w:r>
        <w:rPr>
          <w:lang w:val="en-US"/>
        </w:rPr>
        <w:t>2.</w:t>
      </w:r>
      <w:r w:rsidR="00DC05E9">
        <w:rPr>
          <w:lang w:val="en-US"/>
        </w:rPr>
        <w:t xml:space="preserve">1 </w:t>
      </w:r>
      <w:r>
        <w:tab/>
      </w:r>
      <w:r>
        <w:rPr>
          <w:lang w:val="en-US"/>
        </w:rPr>
        <w:t xml:space="preserve">TA Value </w:t>
      </w:r>
      <w:r w:rsidR="00A86B25">
        <w:rPr>
          <w:lang w:val="en-US"/>
        </w:rPr>
        <w:t>and UL grant validity</w:t>
      </w:r>
      <w:r>
        <w:rPr>
          <w:lang w:val="en-US"/>
        </w:rPr>
        <w:t xml:space="preserve"> at the time of the cell switch </w:t>
      </w:r>
    </w:p>
    <w:p w14:paraId="7ABC10B1" w14:textId="07CE8FF1" w:rsidR="00830B96" w:rsidRDefault="00977179" w:rsidP="00977179">
      <w:pPr>
        <w:jc w:val="both"/>
        <w:rPr>
          <w:lang w:val="en-US"/>
        </w:rPr>
      </w:pPr>
      <w:r>
        <w:rPr>
          <w:lang w:val="en-US"/>
        </w:rPr>
        <w:t>As agreed in previous meetings TA value will be provided to the UE at the time o</w:t>
      </w:r>
      <w:r w:rsidR="00735B5A">
        <w:rPr>
          <w:lang w:val="en-US"/>
        </w:rPr>
        <w:t>f</w:t>
      </w:r>
      <w:r>
        <w:rPr>
          <w:lang w:val="en-US"/>
        </w:rPr>
        <w:t xml:space="preserve"> the cell switch in the MAC CE to trigger cell change. TA validity, till the moment that it is shared with the UE is maintained by the network and the DU is responsible to ensure that the TA </w:t>
      </w:r>
      <w:r w:rsidR="00546CF4">
        <w:rPr>
          <w:lang w:val="en-US"/>
        </w:rPr>
        <w:t xml:space="preserve">s </w:t>
      </w:r>
      <w:r>
        <w:rPr>
          <w:lang w:val="en-US"/>
        </w:rPr>
        <w:t xml:space="preserve">shared with the UE is valid. </w:t>
      </w:r>
    </w:p>
    <w:p w14:paraId="6B0E611A" w14:textId="77777777" w:rsidR="00E51061" w:rsidRDefault="00E51061" w:rsidP="00977179">
      <w:pPr>
        <w:jc w:val="both"/>
      </w:pPr>
      <w:r>
        <w:t>Specifically:</w:t>
      </w:r>
    </w:p>
    <w:tbl>
      <w:tblPr>
        <w:tblStyle w:val="TableGrid"/>
        <w:tblW w:w="0" w:type="auto"/>
        <w:tblLook w:val="04A0" w:firstRow="1" w:lastRow="0" w:firstColumn="1" w:lastColumn="0" w:noHBand="0" w:noVBand="1"/>
      </w:tblPr>
      <w:tblGrid>
        <w:gridCol w:w="9781"/>
      </w:tblGrid>
      <w:tr w:rsidR="00E51061" w14:paraId="64B5AF4F" w14:textId="77777777" w:rsidTr="00E51061">
        <w:tc>
          <w:tcPr>
            <w:tcW w:w="9781" w:type="dxa"/>
          </w:tcPr>
          <w:p w14:paraId="73E6A017" w14:textId="26C89164" w:rsidR="00E51061" w:rsidRPr="00E51061" w:rsidRDefault="00E51061" w:rsidP="00EF4BB5">
            <w:pPr>
              <w:pStyle w:val="Agreement"/>
              <w:tabs>
                <w:tab w:val="clear" w:pos="5039"/>
              </w:tabs>
              <w:ind w:left="851"/>
            </w:pPr>
            <w:r w:rsidRPr="00E51061">
              <w:t>For PDCCH ordered early TA acquisition without RAR, there is no need for UE to maintain the TA timer for candidate cell (</w:t>
            </w:r>
            <w:proofErr w:type="gramStart"/>
            <w:r w:rsidRPr="00E51061">
              <w:t>i.e.</w:t>
            </w:r>
            <w:proofErr w:type="gramEnd"/>
            <w:r w:rsidRPr="00E51061">
              <w:t xml:space="preserve"> it is NW implementation to determine the TA validity), TA is given in the cell switch MAC CE (when available in the network).</w:t>
            </w:r>
          </w:p>
          <w:p w14:paraId="4EE93C28" w14:textId="5C2282CC" w:rsidR="00E51061" w:rsidRPr="00EF4BB5" w:rsidRDefault="00E51061" w:rsidP="00977179">
            <w:pPr>
              <w:jc w:val="both"/>
              <w:rPr>
                <w:lang w:val="en-US"/>
              </w:rPr>
            </w:pPr>
          </w:p>
        </w:tc>
      </w:tr>
    </w:tbl>
    <w:p w14:paraId="7968D38C" w14:textId="77777777" w:rsidR="00E51061" w:rsidRDefault="00E51061" w:rsidP="00977179">
      <w:pPr>
        <w:jc w:val="both"/>
      </w:pPr>
    </w:p>
    <w:p w14:paraId="5519BB7E" w14:textId="1A74CF1E" w:rsidR="00977179" w:rsidRDefault="00977179" w:rsidP="00977179">
      <w:pPr>
        <w:jc w:val="both"/>
        <w:rPr>
          <w:lang w:val="en-US"/>
        </w:rPr>
      </w:pPr>
      <w:r>
        <w:rPr>
          <w:lang w:val="en-US"/>
        </w:rPr>
        <w:t xml:space="preserve">However, it is possible that the TA may expire while the UE </w:t>
      </w:r>
      <w:r w:rsidR="00D31B60">
        <w:rPr>
          <w:lang w:val="en-US"/>
        </w:rPr>
        <w:t>attempts to</w:t>
      </w:r>
      <w:r>
        <w:rPr>
          <w:lang w:val="en-US"/>
        </w:rPr>
        <w:t xml:space="preserve"> access the target cell, since the time UE will not access the target cell directly, but it will have to wait for the occasion to transmit in the UL (either using Configured Grant or Dynamic Scheduling). </w:t>
      </w:r>
    </w:p>
    <w:p w14:paraId="377A0365" w14:textId="7529D92F" w:rsidR="00977179" w:rsidRPr="00977179" w:rsidRDefault="00977179" w:rsidP="00C91C6F">
      <w:pPr>
        <w:spacing w:line="259" w:lineRule="auto"/>
        <w:jc w:val="both"/>
        <w:rPr>
          <w:b/>
          <w:bCs/>
          <w:lang w:val="en-US"/>
        </w:rPr>
      </w:pPr>
      <w:r w:rsidRPr="00977179">
        <w:rPr>
          <w:b/>
          <w:bCs/>
          <w:lang w:val="en-US"/>
        </w:rPr>
        <w:t xml:space="preserve">Observation </w:t>
      </w:r>
      <w:r w:rsidR="7DA09666" w:rsidRPr="3B533EA8">
        <w:rPr>
          <w:b/>
          <w:bCs/>
          <w:lang w:val="en-US"/>
        </w:rPr>
        <w:t>1</w:t>
      </w:r>
      <w:r w:rsidRPr="00977179">
        <w:rPr>
          <w:b/>
          <w:bCs/>
          <w:lang w:val="en-US"/>
        </w:rPr>
        <w:t xml:space="preserve">: </w:t>
      </w:r>
      <w:r w:rsidR="007036C1">
        <w:rPr>
          <w:b/>
          <w:bCs/>
          <w:lang w:val="en-US"/>
        </w:rPr>
        <w:t>T</w:t>
      </w:r>
      <w:r w:rsidR="007036C1" w:rsidRPr="00977179">
        <w:rPr>
          <w:b/>
          <w:bCs/>
          <w:lang w:val="en-US"/>
        </w:rPr>
        <w:t xml:space="preserve">he </w:t>
      </w:r>
      <w:r w:rsidRPr="00977179">
        <w:rPr>
          <w:b/>
          <w:bCs/>
          <w:lang w:val="en-US"/>
        </w:rPr>
        <w:t xml:space="preserve">TA may become invalid between the reception of the TA value in the MAC CE to trigger cell change and the first UL transmission. </w:t>
      </w:r>
    </w:p>
    <w:p w14:paraId="03D7D65F" w14:textId="7A4B41A3" w:rsidR="00977179" w:rsidRDefault="00977179" w:rsidP="00977179">
      <w:pPr>
        <w:jc w:val="both"/>
        <w:rPr>
          <w:b/>
          <w:bCs/>
          <w:lang w:val="en-US"/>
        </w:rPr>
      </w:pPr>
      <w:r w:rsidRPr="007000F9">
        <w:rPr>
          <w:b/>
          <w:bCs/>
          <w:lang w:val="en-US"/>
        </w:rPr>
        <w:t xml:space="preserve">Observation </w:t>
      </w:r>
      <w:r w:rsidR="691C3982" w:rsidRPr="3B533EA8">
        <w:rPr>
          <w:b/>
          <w:bCs/>
          <w:lang w:val="en-US"/>
        </w:rPr>
        <w:t>2</w:t>
      </w:r>
      <w:r w:rsidRPr="007000F9">
        <w:rPr>
          <w:b/>
          <w:bCs/>
          <w:lang w:val="en-US"/>
        </w:rPr>
        <w:t xml:space="preserve">: </w:t>
      </w:r>
      <w:r w:rsidR="00096A5E">
        <w:rPr>
          <w:b/>
          <w:bCs/>
          <w:lang w:val="en-US"/>
        </w:rPr>
        <w:t>A mechanism is needed for the UE</w:t>
      </w:r>
      <w:r w:rsidR="007036C1" w:rsidRPr="007000F9">
        <w:rPr>
          <w:b/>
          <w:bCs/>
          <w:lang w:val="en-US"/>
        </w:rPr>
        <w:t xml:space="preserve"> </w:t>
      </w:r>
      <w:r w:rsidR="00EE39A1">
        <w:rPr>
          <w:b/>
          <w:bCs/>
          <w:lang w:val="en-US"/>
        </w:rPr>
        <w:t xml:space="preserve">to </w:t>
      </w:r>
      <w:r w:rsidR="00583EE8">
        <w:rPr>
          <w:b/>
          <w:bCs/>
          <w:lang w:val="en-US"/>
        </w:rPr>
        <w:t xml:space="preserve">ensure that the </w:t>
      </w:r>
      <w:r w:rsidRPr="007000F9">
        <w:rPr>
          <w:b/>
          <w:bCs/>
          <w:lang w:val="en-US"/>
        </w:rPr>
        <w:t xml:space="preserve">TA </w:t>
      </w:r>
      <w:r w:rsidR="008C1E68">
        <w:rPr>
          <w:b/>
          <w:bCs/>
          <w:lang w:val="en-US"/>
        </w:rPr>
        <w:t xml:space="preserve">is valid </w:t>
      </w:r>
      <w:r w:rsidR="0099657F">
        <w:rPr>
          <w:b/>
          <w:bCs/>
          <w:lang w:val="en-US"/>
        </w:rPr>
        <w:t xml:space="preserve">from the time of the reception of the </w:t>
      </w:r>
      <w:r w:rsidR="00DD7B18">
        <w:rPr>
          <w:b/>
          <w:bCs/>
          <w:lang w:val="en-US"/>
        </w:rPr>
        <w:t xml:space="preserve">MAC CE </w:t>
      </w:r>
      <w:r w:rsidR="00320583">
        <w:rPr>
          <w:b/>
          <w:bCs/>
          <w:lang w:val="en-US"/>
        </w:rPr>
        <w:t xml:space="preserve">to trigger the cell change till the </w:t>
      </w:r>
      <w:r w:rsidR="008C1E68">
        <w:rPr>
          <w:b/>
          <w:bCs/>
          <w:lang w:val="en-US"/>
        </w:rPr>
        <w:t xml:space="preserve">time of the </w:t>
      </w:r>
      <w:r w:rsidR="00452146">
        <w:rPr>
          <w:b/>
          <w:bCs/>
          <w:lang w:val="en-US"/>
        </w:rPr>
        <w:t xml:space="preserve">cell switch </w:t>
      </w:r>
      <w:r w:rsidR="006255F2">
        <w:rPr>
          <w:b/>
          <w:bCs/>
          <w:lang w:val="en-US"/>
        </w:rPr>
        <w:t>(</w:t>
      </w:r>
      <w:r w:rsidR="007000F9" w:rsidRPr="007000F9">
        <w:rPr>
          <w:b/>
          <w:bCs/>
          <w:lang w:val="en-US"/>
        </w:rPr>
        <w:t>first UL transmission</w:t>
      </w:r>
      <w:r w:rsidR="006255F2">
        <w:rPr>
          <w:b/>
          <w:bCs/>
          <w:lang w:val="en-US"/>
        </w:rPr>
        <w:t>)</w:t>
      </w:r>
      <w:r w:rsidR="007000F9" w:rsidRPr="007000F9">
        <w:rPr>
          <w:b/>
          <w:bCs/>
          <w:lang w:val="en-US"/>
        </w:rPr>
        <w:t>.</w:t>
      </w:r>
    </w:p>
    <w:p w14:paraId="0262DFB6" w14:textId="3421F3CA" w:rsidR="001F36BF" w:rsidRPr="007000F9" w:rsidRDefault="001F36BF" w:rsidP="00C91C6F">
      <w:pPr>
        <w:spacing w:line="259" w:lineRule="auto"/>
        <w:jc w:val="both"/>
        <w:rPr>
          <w:b/>
          <w:bCs/>
          <w:lang w:val="en-US"/>
        </w:rPr>
      </w:pPr>
      <w:r w:rsidRPr="00C036B5">
        <w:rPr>
          <w:b/>
          <w:bCs/>
          <w:lang w:val="en-US"/>
        </w:rPr>
        <w:t xml:space="preserve">Proposal </w:t>
      </w:r>
      <w:r w:rsidR="7D8FCEA7" w:rsidRPr="3B533EA8">
        <w:rPr>
          <w:b/>
          <w:bCs/>
          <w:lang w:val="en-US"/>
        </w:rPr>
        <w:t>1</w:t>
      </w:r>
      <w:r>
        <w:rPr>
          <w:b/>
          <w:bCs/>
          <w:lang w:val="en-US"/>
        </w:rPr>
        <w:t>:</w:t>
      </w:r>
      <w:r w:rsidR="002654AC">
        <w:rPr>
          <w:b/>
          <w:bCs/>
          <w:lang w:val="en-US"/>
        </w:rPr>
        <w:t xml:space="preserve"> </w:t>
      </w:r>
      <w:r w:rsidR="0084100C">
        <w:rPr>
          <w:b/>
          <w:bCs/>
          <w:lang w:val="en-US"/>
        </w:rPr>
        <w:t xml:space="preserve">RAN2 </w:t>
      </w:r>
      <w:r w:rsidR="00F46714">
        <w:rPr>
          <w:b/>
          <w:bCs/>
          <w:lang w:val="en-US"/>
        </w:rPr>
        <w:t xml:space="preserve">should discuss on how the TA </w:t>
      </w:r>
      <w:r w:rsidR="00E3084E">
        <w:rPr>
          <w:b/>
          <w:bCs/>
          <w:lang w:val="en-US"/>
        </w:rPr>
        <w:t>validity is maintained during the cell switch</w:t>
      </w:r>
      <w:r w:rsidR="00750087">
        <w:rPr>
          <w:b/>
          <w:bCs/>
          <w:lang w:val="en-US"/>
        </w:rPr>
        <w:t>.</w:t>
      </w:r>
      <w:r>
        <w:rPr>
          <w:b/>
          <w:bCs/>
          <w:lang w:val="en-US"/>
        </w:rPr>
        <w:t xml:space="preserve"> </w:t>
      </w:r>
      <w:r w:rsidR="003F51A6">
        <w:rPr>
          <w:b/>
          <w:bCs/>
          <w:lang w:val="en-US"/>
        </w:rPr>
        <w:t>I</w:t>
      </w:r>
    </w:p>
    <w:p w14:paraId="28DA7D45" w14:textId="2C06AEC7" w:rsidR="00EB2F35" w:rsidRDefault="007000F9" w:rsidP="00EB2F35">
      <w:pPr>
        <w:jc w:val="both"/>
        <w:rPr>
          <w:lang w:val="en-US"/>
        </w:rPr>
      </w:pPr>
      <w:r>
        <w:rPr>
          <w:lang w:val="en-US"/>
        </w:rPr>
        <w:t xml:space="preserve">The TA validity maintenance up to now has been performed using the TAT. A similar approach can be followed for the TA maintenance from the UE from the time of the reception of the TA till the moment the first successful UL transmission takes place. </w:t>
      </w:r>
      <w:r w:rsidR="00EB2F35" w:rsidRPr="007000F9">
        <w:rPr>
          <w:lang w:val="en-US"/>
        </w:rPr>
        <w:t xml:space="preserve">The </w:t>
      </w:r>
      <w:r w:rsidR="00384A20">
        <w:rPr>
          <w:lang w:val="en-US"/>
        </w:rPr>
        <w:t xml:space="preserve">timing </w:t>
      </w:r>
      <w:r w:rsidR="008D6E31">
        <w:rPr>
          <w:lang w:val="en-US"/>
        </w:rPr>
        <w:t>advance</w:t>
      </w:r>
      <w:r w:rsidR="00384A20">
        <w:rPr>
          <w:lang w:val="en-US"/>
        </w:rPr>
        <w:t xml:space="preserve"> </w:t>
      </w:r>
      <w:r w:rsidR="002224F6">
        <w:rPr>
          <w:lang w:val="en-US"/>
        </w:rPr>
        <w:t xml:space="preserve">validity </w:t>
      </w:r>
      <w:r w:rsidR="002F557C">
        <w:rPr>
          <w:lang w:val="en-US"/>
        </w:rPr>
        <w:t>timer</w:t>
      </w:r>
      <w:r w:rsidR="00EB2F35">
        <w:rPr>
          <w:lang w:val="en-US"/>
        </w:rPr>
        <w:t xml:space="preserve"> can be either provided as in legacy or it can be provided in the MAC CE to trigger cell change, since the TA validity is not fixed but it depends on when the Early Synch has taken place and when the cell switch command is sent to the UE. </w:t>
      </w:r>
    </w:p>
    <w:p w14:paraId="510D03B5" w14:textId="7E3E17AF" w:rsidR="007000F9" w:rsidRDefault="007000F9" w:rsidP="00977179">
      <w:pPr>
        <w:jc w:val="both"/>
        <w:rPr>
          <w:b/>
          <w:bCs/>
          <w:lang w:val="en-US"/>
        </w:rPr>
      </w:pPr>
      <w:r w:rsidRPr="007000F9">
        <w:rPr>
          <w:b/>
          <w:bCs/>
          <w:lang w:val="en-US"/>
        </w:rPr>
        <w:t xml:space="preserve">Proposal </w:t>
      </w:r>
      <w:r w:rsidR="457482CA" w:rsidRPr="30B801F7">
        <w:rPr>
          <w:b/>
          <w:bCs/>
          <w:lang w:val="en-US"/>
        </w:rPr>
        <w:t>2</w:t>
      </w:r>
      <w:r w:rsidRPr="007000F9">
        <w:rPr>
          <w:b/>
          <w:bCs/>
          <w:lang w:val="en-US"/>
        </w:rPr>
        <w:t xml:space="preserve">: </w:t>
      </w:r>
      <w:r>
        <w:rPr>
          <w:b/>
          <w:bCs/>
          <w:lang w:val="en-US"/>
        </w:rPr>
        <w:t>T</w:t>
      </w:r>
      <w:r w:rsidRPr="007000F9">
        <w:rPr>
          <w:b/>
          <w:bCs/>
          <w:lang w:val="en-US"/>
        </w:rPr>
        <w:t xml:space="preserve">he UE </w:t>
      </w:r>
      <w:r w:rsidR="00792244">
        <w:rPr>
          <w:b/>
          <w:bCs/>
          <w:lang w:val="en-US"/>
        </w:rPr>
        <w:t>can</w:t>
      </w:r>
      <w:r w:rsidR="00792244" w:rsidRPr="007000F9">
        <w:rPr>
          <w:b/>
          <w:bCs/>
          <w:lang w:val="en-US"/>
        </w:rPr>
        <w:t xml:space="preserve"> </w:t>
      </w:r>
      <w:r w:rsidRPr="007000F9">
        <w:rPr>
          <w:b/>
          <w:bCs/>
          <w:lang w:val="en-US"/>
        </w:rPr>
        <w:t xml:space="preserve">start a </w:t>
      </w:r>
      <w:r w:rsidR="003B7623">
        <w:rPr>
          <w:b/>
          <w:bCs/>
          <w:lang w:val="en-US"/>
        </w:rPr>
        <w:t xml:space="preserve">timer to </w:t>
      </w:r>
      <w:r w:rsidR="00BF78C7">
        <w:rPr>
          <w:b/>
          <w:bCs/>
          <w:lang w:val="en-US"/>
        </w:rPr>
        <w:t xml:space="preserve">maintain the </w:t>
      </w:r>
      <w:r w:rsidR="00FF2E49">
        <w:rPr>
          <w:b/>
          <w:bCs/>
          <w:lang w:val="en-US"/>
        </w:rPr>
        <w:t xml:space="preserve">validity of TA </w:t>
      </w:r>
      <w:r w:rsidRPr="007000F9">
        <w:rPr>
          <w:b/>
          <w:bCs/>
          <w:lang w:val="en-US"/>
        </w:rPr>
        <w:t>at the time of the reception of the TA value with the MAC CE triggering cell switch.</w:t>
      </w:r>
    </w:p>
    <w:p w14:paraId="42AC1144" w14:textId="470C1C12" w:rsidR="00EB2F35" w:rsidRPr="00106EC3" w:rsidRDefault="00EB2F35" w:rsidP="00EB2F35">
      <w:pPr>
        <w:jc w:val="both"/>
      </w:pPr>
      <w:r w:rsidRPr="004A23CB">
        <w:t>When the TA is received via MAC CE command, the T304 timer and TAT starts running simultaneously</w:t>
      </w:r>
      <w:r>
        <w:t xml:space="preserve"> as MAC CE includes the TA which triggers the TAT to start running.</w:t>
      </w:r>
      <w:r w:rsidRPr="004A23CB">
        <w:t xml:space="preserve"> </w:t>
      </w:r>
      <w:r>
        <w:t xml:space="preserve">This is because T304 is a </w:t>
      </w:r>
      <w:r w:rsidRPr="001F79BE">
        <w:t>timer that is used to detect radio link related issues during the handover procedure</w:t>
      </w:r>
      <w:r>
        <w:t xml:space="preserve"> whereas TAT is </w:t>
      </w:r>
      <w:r w:rsidRPr="001F79BE">
        <w:t>a timer that is used to identify if the acquired TA is still valid or not.</w:t>
      </w:r>
    </w:p>
    <w:p w14:paraId="5E1F263B" w14:textId="11E92FB3" w:rsidR="00EB2F35" w:rsidRDefault="00EB2F35" w:rsidP="00EB2F35">
      <w:pPr>
        <w:jc w:val="both"/>
      </w:pPr>
      <w:r>
        <w:t xml:space="preserve">Although T304 and TAT are independent timers, in LTM cell switch procedure, those two timers coincide. </w:t>
      </w:r>
      <w:r w:rsidRPr="004A23CB">
        <w:t xml:space="preserve">When </w:t>
      </w:r>
      <w:proofErr w:type="gramStart"/>
      <w:r w:rsidRPr="004A23CB">
        <w:t xml:space="preserve">the </w:t>
      </w:r>
      <w:r w:rsidR="007856B7" w:rsidRPr="007856B7">
        <w:rPr>
          <w:lang w:val="en-US"/>
        </w:rPr>
        <w:t>a</w:t>
      </w:r>
      <w:proofErr w:type="gramEnd"/>
      <w:r w:rsidR="007856B7" w:rsidRPr="007856B7">
        <w:rPr>
          <w:lang w:val="en-US"/>
        </w:rPr>
        <w:t xml:space="preserve"> timer to maintain the</w:t>
      </w:r>
      <w:r w:rsidR="008D6E31">
        <w:rPr>
          <w:lang w:val="en-US"/>
        </w:rPr>
        <w:t xml:space="preserve"> validity</w:t>
      </w:r>
      <w:r w:rsidR="007856B7" w:rsidRPr="007856B7">
        <w:rPr>
          <w:lang w:val="en-US"/>
        </w:rPr>
        <w:t xml:space="preserve"> of TA</w:t>
      </w:r>
      <w:r>
        <w:rPr>
          <w:lang w:val="en-US"/>
        </w:rPr>
        <w:t xml:space="preserve"> </w:t>
      </w:r>
      <w:r w:rsidRPr="004A23CB">
        <w:t>timer expires before the T304 timer expire</w:t>
      </w:r>
      <w:r>
        <w:t>s</w:t>
      </w:r>
      <w:r w:rsidRPr="004A23CB">
        <w:t xml:space="preserve"> the UE cannot complete the handover anymore (as the TA is not valid anymore). However, the UE waits until the T304 timer to expire, </w:t>
      </w:r>
      <w:r>
        <w:t xml:space="preserve">and only </w:t>
      </w:r>
      <w:r w:rsidRPr="004A23CB">
        <w:t>then declare</w:t>
      </w:r>
      <w:r>
        <w:t>s</w:t>
      </w:r>
      <w:r w:rsidRPr="004A23CB">
        <w:t xml:space="preserve"> failure to initiate the re-establishment</w:t>
      </w:r>
      <w:r>
        <w:t>. This issue is illustrated in an example mobility scenario i</w:t>
      </w:r>
      <w:r w:rsidR="001A1903">
        <w:t>n Figure 1</w:t>
      </w:r>
      <w:r>
        <w:t xml:space="preserve">. Assume that there are two cells with the coverage areas shown with elliptic areas and the UE is moving from left cell coverage to right cell coverage. </w:t>
      </w:r>
    </w:p>
    <w:p w14:paraId="6C0A9F0A" w14:textId="77777777" w:rsidR="00EB2F35" w:rsidRPr="00EB2F35" w:rsidRDefault="00EB2F35" w:rsidP="00EB2F35">
      <w:pPr>
        <w:pStyle w:val="ListParagraph"/>
        <w:numPr>
          <w:ilvl w:val="0"/>
          <w:numId w:val="20"/>
        </w:numPr>
        <w:jc w:val="both"/>
        <w:rPr>
          <w:rFonts w:ascii="Times New Roman" w:hAnsi="Times New Roman" w:cs="Times New Roman"/>
          <w:sz w:val="20"/>
        </w:rPr>
      </w:pPr>
      <w:r w:rsidRPr="00EB2F35">
        <w:rPr>
          <w:rFonts w:ascii="Times New Roman" w:hAnsi="Times New Roman" w:cs="Times New Roman"/>
          <w:sz w:val="20"/>
        </w:rPr>
        <w:t>Step 0: The UE receives the MAC CE for cell change trigger.</w:t>
      </w:r>
    </w:p>
    <w:p w14:paraId="6E843B44" w14:textId="77777777" w:rsidR="00EB2F35" w:rsidRPr="00EB2F35" w:rsidRDefault="00EB2F35" w:rsidP="00EB2F35">
      <w:pPr>
        <w:pStyle w:val="ListParagraph"/>
        <w:numPr>
          <w:ilvl w:val="0"/>
          <w:numId w:val="20"/>
        </w:numPr>
        <w:jc w:val="both"/>
        <w:rPr>
          <w:rFonts w:ascii="Times New Roman" w:hAnsi="Times New Roman" w:cs="Times New Roman"/>
          <w:sz w:val="20"/>
        </w:rPr>
      </w:pPr>
      <w:r w:rsidRPr="00EB2F35">
        <w:rPr>
          <w:rFonts w:ascii="Times New Roman" w:hAnsi="Times New Roman" w:cs="Times New Roman"/>
          <w:sz w:val="20"/>
        </w:rPr>
        <w:t>Step 1: UE cannot access to the target cell due to bad radio link.</w:t>
      </w:r>
    </w:p>
    <w:p w14:paraId="61E28AA0" w14:textId="14E3659A" w:rsidR="00EB2F35" w:rsidRPr="00EB2F35" w:rsidRDefault="00EB2F35" w:rsidP="00C91C6F">
      <w:pPr>
        <w:pStyle w:val="ListParagraph"/>
        <w:numPr>
          <w:ilvl w:val="0"/>
          <w:numId w:val="20"/>
        </w:numPr>
        <w:jc w:val="both"/>
        <w:rPr>
          <w:rFonts w:ascii="Times New Roman" w:hAnsi="Times New Roman" w:cs="Times New Roman"/>
          <w:sz w:val="20"/>
        </w:rPr>
      </w:pPr>
      <w:r w:rsidRPr="00EB2F35">
        <w:rPr>
          <w:rFonts w:ascii="Times New Roman" w:hAnsi="Times New Roman" w:cs="Times New Roman"/>
          <w:sz w:val="20"/>
        </w:rPr>
        <w:t xml:space="preserve">Step 2: If the MAC CE includes the TA of the target cell, then the UE will start running the TAT when it receives the TA in that message. </w:t>
      </w:r>
    </w:p>
    <w:p w14:paraId="4AECFDC2" w14:textId="72BD7A24" w:rsidR="00EB2F35" w:rsidRPr="00EB2F35" w:rsidRDefault="00EB2F35" w:rsidP="00EB2F35">
      <w:pPr>
        <w:pStyle w:val="ListParagraph"/>
        <w:numPr>
          <w:ilvl w:val="0"/>
          <w:numId w:val="20"/>
        </w:numPr>
        <w:jc w:val="both"/>
        <w:rPr>
          <w:rFonts w:ascii="Times New Roman" w:hAnsi="Times New Roman" w:cs="Times New Roman"/>
          <w:sz w:val="20"/>
        </w:rPr>
      </w:pPr>
      <w:r w:rsidRPr="00EB2F35">
        <w:rPr>
          <w:rFonts w:ascii="Times New Roman" w:hAnsi="Times New Roman" w:cs="Times New Roman"/>
          <w:sz w:val="20"/>
        </w:rPr>
        <w:t xml:space="preserve">Step 3: The </w:t>
      </w:r>
      <w:r w:rsidR="00CF0B90" w:rsidRPr="00CF0B90">
        <w:rPr>
          <w:rFonts w:ascii="Times New Roman" w:hAnsi="Times New Roman" w:cs="Times New Roman"/>
          <w:sz w:val="20"/>
        </w:rPr>
        <w:t xml:space="preserve">timer to maintain the validity of TA </w:t>
      </w:r>
      <w:r w:rsidRPr="00EB2F35">
        <w:rPr>
          <w:rFonts w:ascii="Times New Roman" w:hAnsi="Times New Roman" w:cs="Times New Roman"/>
          <w:sz w:val="20"/>
        </w:rPr>
        <w:t xml:space="preserve">expires which indicates that the TA is invalid. The UE continues to run the T304 timer. </w:t>
      </w:r>
    </w:p>
    <w:p w14:paraId="00CFC8F5" w14:textId="5900D37D" w:rsidR="00EB2F35" w:rsidRPr="00EB2F35" w:rsidRDefault="00EB2F35" w:rsidP="00EB2F35">
      <w:pPr>
        <w:pStyle w:val="ListParagraph"/>
        <w:numPr>
          <w:ilvl w:val="0"/>
          <w:numId w:val="20"/>
        </w:numPr>
        <w:jc w:val="both"/>
        <w:rPr>
          <w:rFonts w:ascii="Times New Roman" w:hAnsi="Times New Roman" w:cs="Times New Roman"/>
          <w:sz w:val="20"/>
        </w:rPr>
      </w:pPr>
      <w:r w:rsidRPr="00EB2F35">
        <w:rPr>
          <w:rFonts w:ascii="Times New Roman" w:hAnsi="Times New Roman" w:cs="Times New Roman"/>
          <w:sz w:val="20"/>
        </w:rPr>
        <w:t xml:space="preserve">Step 4-5: Even if the link between the UE and the target cell gets better, the UE cannot perform the </w:t>
      </w:r>
      <w:proofErr w:type="spellStart"/>
      <w:r w:rsidRPr="00EB2F35">
        <w:rPr>
          <w:rFonts w:ascii="Times New Roman" w:hAnsi="Times New Roman" w:cs="Times New Roman"/>
          <w:sz w:val="20"/>
        </w:rPr>
        <w:t>RACHless</w:t>
      </w:r>
      <w:proofErr w:type="spellEnd"/>
      <w:r w:rsidRPr="00EB2F35">
        <w:rPr>
          <w:rFonts w:ascii="Times New Roman" w:hAnsi="Times New Roman" w:cs="Times New Roman"/>
          <w:sz w:val="20"/>
        </w:rPr>
        <w:t xml:space="preserve"> HO as the TA becomes invalid. Then, the UE waits until the T304 expires and experiences interruption until T304 expiry.</w:t>
      </w:r>
    </w:p>
    <w:p w14:paraId="3E5D0B70" w14:textId="674EAE43" w:rsidR="00EB2F35" w:rsidRPr="00EB2F35" w:rsidRDefault="00EB2F35" w:rsidP="00EB2F35">
      <w:pPr>
        <w:pStyle w:val="ListParagraph"/>
        <w:numPr>
          <w:ilvl w:val="0"/>
          <w:numId w:val="20"/>
        </w:numPr>
        <w:jc w:val="both"/>
        <w:rPr>
          <w:rFonts w:ascii="Times New Roman" w:hAnsi="Times New Roman" w:cs="Times New Roman"/>
          <w:sz w:val="20"/>
        </w:rPr>
      </w:pPr>
      <w:r w:rsidRPr="00EB2F35">
        <w:rPr>
          <w:rFonts w:ascii="Times New Roman" w:hAnsi="Times New Roman" w:cs="Times New Roman"/>
          <w:sz w:val="20"/>
        </w:rPr>
        <w:t>Step 6-7: The UE declares failure after T304 expiry</w:t>
      </w:r>
      <w:r w:rsidR="43ED9F3D" w:rsidRPr="29AFBE2A">
        <w:rPr>
          <w:rFonts w:ascii="Times New Roman" w:hAnsi="Times New Roman" w:cs="Times New Roman"/>
          <w:sz w:val="20"/>
        </w:rPr>
        <w:t>,</w:t>
      </w:r>
      <w:r w:rsidRPr="00EB2F35">
        <w:rPr>
          <w:rFonts w:ascii="Times New Roman" w:hAnsi="Times New Roman" w:cs="Times New Roman"/>
          <w:sz w:val="20"/>
        </w:rPr>
        <w:t xml:space="preserve"> and the UE initiates the re-establishment procedure to find a suitable cell for reconnecting to the network. During this time, the UE continues to experience the interruption as the UE cannot receive any service until the re-establishment is completed.</w:t>
      </w:r>
    </w:p>
    <w:p w14:paraId="128C9684" w14:textId="77777777" w:rsidR="00EB2F35" w:rsidRDefault="00EB2F35" w:rsidP="00EB2F35"/>
    <w:p w14:paraId="5DFC0B35" w14:textId="72B0D63F" w:rsidR="00EB2F35" w:rsidRPr="00EB2F35" w:rsidRDefault="00F93277" w:rsidP="00EB2F35">
      <w:pPr>
        <w:keepNext/>
        <w:jc w:val="center"/>
      </w:pPr>
      <w:r>
        <w:rPr>
          <w:noProof/>
        </w:rPr>
        <w:drawing>
          <wp:inline distT="0" distB="0" distL="0" distR="0" wp14:anchorId="392CAD63" wp14:editId="7F671E37">
            <wp:extent cx="5871210" cy="23717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71210" cy="2371725"/>
                    </a:xfrm>
                    <a:prstGeom prst="rect">
                      <a:avLst/>
                    </a:prstGeom>
                    <a:noFill/>
                  </pic:spPr>
                </pic:pic>
              </a:graphicData>
            </a:graphic>
          </wp:inline>
        </w:drawing>
      </w:r>
    </w:p>
    <w:p w14:paraId="0F820929" w14:textId="307092F7" w:rsidR="00EB2F35" w:rsidRPr="00EB2F35" w:rsidRDefault="00EB2F35" w:rsidP="00EB2F35">
      <w:pPr>
        <w:pStyle w:val="Caption"/>
        <w:jc w:val="center"/>
        <w:rPr>
          <w:rFonts w:ascii="Times New Roman" w:hAnsi="Times New Roman" w:cs="Times New Roman"/>
          <w:sz w:val="20"/>
          <w:szCs w:val="20"/>
        </w:rPr>
      </w:pPr>
      <w:r w:rsidRPr="00EB2F35">
        <w:rPr>
          <w:rFonts w:ascii="Times New Roman" w:hAnsi="Times New Roman" w:cs="Times New Roman"/>
          <w:sz w:val="20"/>
          <w:szCs w:val="20"/>
        </w:rPr>
        <w:t xml:space="preserve">Figure </w:t>
      </w:r>
      <w:r w:rsidRPr="00EB2F35">
        <w:rPr>
          <w:rFonts w:ascii="Times New Roman" w:hAnsi="Times New Roman" w:cs="Times New Roman"/>
          <w:sz w:val="20"/>
          <w:szCs w:val="20"/>
        </w:rPr>
        <w:fldChar w:fldCharType="begin"/>
      </w:r>
      <w:r w:rsidRPr="00EB2F35">
        <w:rPr>
          <w:rFonts w:ascii="Times New Roman" w:hAnsi="Times New Roman" w:cs="Times New Roman"/>
          <w:sz w:val="20"/>
          <w:szCs w:val="20"/>
        </w:rPr>
        <w:instrText xml:space="preserve"> SEQ Figure \* ARABIC </w:instrText>
      </w:r>
      <w:r w:rsidRPr="00EB2F35">
        <w:rPr>
          <w:rFonts w:ascii="Times New Roman" w:hAnsi="Times New Roman" w:cs="Times New Roman"/>
          <w:sz w:val="20"/>
          <w:szCs w:val="20"/>
        </w:rPr>
        <w:fldChar w:fldCharType="separate"/>
      </w:r>
      <w:r w:rsidRPr="00EB2F35">
        <w:rPr>
          <w:rFonts w:ascii="Times New Roman" w:hAnsi="Times New Roman" w:cs="Times New Roman"/>
          <w:noProof/>
          <w:sz w:val="20"/>
          <w:szCs w:val="20"/>
        </w:rPr>
        <w:t>1</w:t>
      </w:r>
      <w:r w:rsidRPr="00EB2F35">
        <w:rPr>
          <w:rFonts w:ascii="Times New Roman" w:hAnsi="Times New Roman" w:cs="Times New Roman"/>
          <w:sz w:val="20"/>
          <w:szCs w:val="20"/>
        </w:rPr>
        <w:fldChar w:fldCharType="end"/>
      </w:r>
      <w:r w:rsidRPr="00EB2F35">
        <w:rPr>
          <w:rFonts w:ascii="Times New Roman" w:hAnsi="Times New Roman" w:cs="Times New Roman"/>
          <w:sz w:val="20"/>
          <w:szCs w:val="20"/>
        </w:rPr>
        <w:t xml:space="preserve">: Illustration of </w:t>
      </w:r>
      <w:proofErr w:type="spellStart"/>
      <w:r w:rsidRPr="00EB2F35">
        <w:rPr>
          <w:rFonts w:ascii="Times New Roman" w:hAnsi="Times New Roman" w:cs="Times New Roman"/>
          <w:sz w:val="20"/>
          <w:szCs w:val="20"/>
        </w:rPr>
        <w:t>RACHless</w:t>
      </w:r>
      <w:proofErr w:type="spellEnd"/>
      <w:r w:rsidRPr="00EB2F35">
        <w:rPr>
          <w:rFonts w:ascii="Times New Roman" w:hAnsi="Times New Roman" w:cs="Times New Roman"/>
          <w:sz w:val="20"/>
          <w:szCs w:val="20"/>
        </w:rPr>
        <w:t xml:space="preserve"> LTM failure Scenario</w:t>
      </w:r>
    </w:p>
    <w:p w14:paraId="64231371" w14:textId="0518140B" w:rsidR="00D839AB" w:rsidRPr="007000F9" w:rsidRDefault="00D839AB" w:rsidP="00C91C6F">
      <w:pPr>
        <w:spacing w:line="259" w:lineRule="auto"/>
        <w:jc w:val="both"/>
        <w:rPr>
          <w:b/>
          <w:bCs/>
          <w:lang w:val="en-US"/>
        </w:rPr>
      </w:pPr>
      <w:r w:rsidRPr="007000F9">
        <w:rPr>
          <w:b/>
          <w:bCs/>
          <w:lang w:val="en-US"/>
        </w:rPr>
        <w:t xml:space="preserve">Observation </w:t>
      </w:r>
      <w:r w:rsidR="6337D9A9" w:rsidRPr="3B533EA8">
        <w:rPr>
          <w:b/>
          <w:bCs/>
          <w:lang w:val="en-US"/>
        </w:rPr>
        <w:t>3</w:t>
      </w:r>
      <w:r w:rsidRPr="007000F9">
        <w:rPr>
          <w:b/>
          <w:bCs/>
          <w:lang w:val="en-US"/>
        </w:rPr>
        <w:t xml:space="preserve">: </w:t>
      </w:r>
      <w:r>
        <w:rPr>
          <w:b/>
          <w:bCs/>
          <w:lang w:val="en-US"/>
        </w:rPr>
        <w:t>It is possible that TA alignment timer will expire before the T304 expiration</w:t>
      </w:r>
      <w:r w:rsidRPr="007000F9">
        <w:rPr>
          <w:b/>
          <w:bCs/>
          <w:lang w:val="en-US"/>
        </w:rPr>
        <w:t>.</w:t>
      </w:r>
    </w:p>
    <w:p w14:paraId="53A69919" w14:textId="07C5A5DE" w:rsidR="00706356" w:rsidRPr="007000F9" w:rsidRDefault="00D839AB" w:rsidP="00C91C6F">
      <w:pPr>
        <w:spacing w:line="259" w:lineRule="auto"/>
        <w:jc w:val="both"/>
        <w:rPr>
          <w:b/>
          <w:bCs/>
          <w:lang w:val="en-US"/>
        </w:rPr>
      </w:pPr>
      <w:r w:rsidRPr="007000F9">
        <w:rPr>
          <w:b/>
          <w:bCs/>
          <w:lang w:val="en-US"/>
        </w:rPr>
        <w:t xml:space="preserve">Observation </w:t>
      </w:r>
      <w:r w:rsidR="5BF485FC" w:rsidRPr="3B533EA8">
        <w:rPr>
          <w:b/>
          <w:bCs/>
          <w:lang w:val="en-US"/>
        </w:rPr>
        <w:t>4</w:t>
      </w:r>
      <w:r w:rsidRPr="007000F9">
        <w:rPr>
          <w:b/>
          <w:bCs/>
          <w:lang w:val="en-US"/>
        </w:rPr>
        <w:t xml:space="preserve">: </w:t>
      </w:r>
      <w:r>
        <w:rPr>
          <w:b/>
          <w:bCs/>
          <w:lang w:val="en-US"/>
        </w:rPr>
        <w:t xml:space="preserve">If TAT expires before the T304 the UE </w:t>
      </w:r>
      <w:proofErr w:type="gramStart"/>
      <w:r>
        <w:rPr>
          <w:b/>
          <w:bCs/>
          <w:lang w:val="en-US"/>
        </w:rPr>
        <w:t>has to</w:t>
      </w:r>
      <w:proofErr w:type="gramEnd"/>
      <w:r>
        <w:rPr>
          <w:b/>
          <w:bCs/>
          <w:lang w:val="en-US"/>
        </w:rPr>
        <w:t xml:space="preserve"> wait </w:t>
      </w:r>
      <w:r w:rsidR="00706356">
        <w:rPr>
          <w:b/>
          <w:bCs/>
          <w:lang w:val="en-US"/>
        </w:rPr>
        <w:t>till T304 will expire as well in order to act.</w:t>
      </w:r>
    </w:p>
    <w:p w14:paraId="71DCF113" w14:textId="0278CB4D" w:rsidR="00EB2F35" w:rsidRPr="00FB3BC0" w:rsidRDefault="00706356" w:rsidP="00977179">
      <w:pPr>
        <w:jc w:val="both"/>
        <w:rPr>
          <w:lang w:val="en-US"/>
        </w:rPr>
      </w:pPr>
      <w:r>
        <w:rPr>
          <w:lang w:val="en-US"/>
        </w:rPr>
        <w:t>For the UE to act in time, the following options exist</w:t>
      </w:r>
      <w:r w:rsidR="00FB3BC0" w:rsidRPr="00FB3BC0">
        <w:rPr>
          <w:lang w:val="en-US"/>
        </w:rPr>
        <w:t>:</w:t>
      </w:r>
    </w:p>
    <w:p w14:paraId="769A9EFE" w14:textId="4478EE25" w:rsidR="00FB3BC0" w:rsidRPr="00FB3BC0" w:rsidRDefault="00706356" w:rsidP="00FB3BC0">
      <w:pPr>
        <w:pStyle w:val="ListParagraph"/>
        <w:numPr>
          <w:ilvl w:val="0"/>
          <w:numId w:val="24"/>
        </w:numPr>
        <w:jc w:val="both"/>
        <w:rPr>
          <w:rFonts w:ascii="Times New Roman" w:hAnsi="Times New Roman" w:cs="Times New Roman"/>
          <w:sz w:val="20"/>
        </w:rPr>
      </w:pPr>
      <w:r>
        <w:rPr>
          <w:rFonts w:ascii="Times New Roman" w:hAnsi="Times New Roman" w:cs="Times New Roman"/>
          <w:sz w:val="20"/>
          <w:u w:val="single"/>
        </w:rPr>
        <w:t xml:space="preserve">Option 1: </w:t>
      </w:r>
      <w:r w:rsidR="00FB3BC0" w:rsidRPr="00FB3BC0">
        <w:rPr>
          <w:rFonts w:ascii="Times New Roman" w:hAnsi="Times New Roman" w:cs="Times New Roman"/>
          <w:sz w:val="20"/>
          <w:u w:val="single"/>
        </w:rPr>
        <w:t xml:space="preserve">UE fallback to source cell after </w:t>
      </w:r>
      <w:r w:rsidR="000D7026" w:rsidRPr="00CF0B90">
        <w:rPr>
          <w:rFonts w:ascii="Times New Roman" w:hAnsi="Times New Roman" w:cs="Times New Roman"/>
          <w:sz w:val="20"/>
        </w:rPr>
        <w:t>timer to maintain the validity of TA</w:t>
      </w:r>
      <w:r w:rsidR="00FB3BC0" w:rsidRPr="00CF0B90">
        <w:rPr>
          <w:rFonts w:ascii="Times New Roman" w:hAnsi="Times New Roman" w:cs="Times New Roman"/>
          <w:sz w:val="20"/>
        </w:rPr>
        <w:t xml:space="preserve"> </w:t>
      </w:r>
      <w:r w:rsidR="00FB3BC0" w:rsidRPr="00FB3BC0">
        <w:rPr>
          <w:rFonts w:ascii="Times New Roman" w:hAnsi="Times New Roman" w:cs="Times New Roman"/>
          <w:sz w:val="20"/>
          <w:u w:val="single"/>
        </w:rPr>
        <w:t>expiry of the target cell of handover</w:t>
      </w:r>
      <w:r w:rsidR="00FB3BC0" w:rsidRPr="00FB3BC0">
        <w:rPr>
          <w:rFonts w:ascii="Times New Roman" w:hAnsi="Times New Roman" w:cs="Times New Roman"/>
          <w:sz w:val="20"/>
        </w:rPr>
        <w:t xml:space="preserve"> (if source TAT has not expired but target TAT has expired). The uplink resource for fallback is pre-configured at source for the UE to indicate the return.</w:t>
      </w:r>
      <w:r w:rsidR="00FB3BC0">
        <w:rPr>
          <w:rFonts w:ascii="Times New Roman" w:hAnsi="Times New Roman" w:cs="Times New Roman"/>
          <w:sz w:val="20"/>
        </w:rPr>
        <w:t xml:space="preserve"> In this case the UE </w:t>
      </w:r>
      <w:r w:rsidR="00FB3BC0" w:rsidRPr="00FB3BC0">
        <w:rPr>
          <w:rFonts w:ascii="Times New Roman" w:hAnsi="Times New Roman" w:cs="Times New Roman"/>
          <w:sz w:val="20"/>
        </w:rPr>
        <w:t>does not wait until T304 expiry and connects back to source cell to avoid failure or longer interruption time</w:t>
      </w:r>
      <w:r w:rsidR="00FB3BC0">
        <w:rPr>
          <w:rFonts w:ascii="Times New Roman" w:hAnsi="Times New Roman" w:cs="Times New Roman"/>
          <w:sz w:val="20"/>
        </w:rPr>
        <w:t>.</w:t>
      </w:r>
    </w:p>
    <w:p w14:paraId="67D2BEBF" w14:textId="1CE66EE2" w:rsidR="00FB3BC0" w:rsidRPr="00FB3BC0" w:rsidRDefault="00706356" w:rsidP="00FB3BC0">
      <w:pPr>
        <w:pStyle w:val="ListParagraph"/>
        <w:numPr>
          <w:ilvl w:val="0"/>
          <w:numId w:val="24"/>
        </w:numPr>
        <w:jc w:val="both"/>
        <w:rPr>
          <w:rFonts w:ascii="Times New Roman" w:hAnsi="Times New Roman" w:cs="Times New Roman"/>
          <w:sz w:val="20"/>
        </w:rPr>
      </w:pPr>
      <w:r>
        <w:rPr>
          <w:rFonts w:ascii="Times New Roman" w:hAnsi="Times New Roman" w:cs="Times New Roman"/>
          <w:sz w:val="20"/>
          <w:u w:val="single"/>
        </w:rPr>
        <w:t xml:space="preserve">Option 2: </w:t>
      </w:r>
      <w:r w:rsidR="00FB3BC0" w:rsidRPr="00FB3BC0">
        <w:rPr>
          <w:rFonts w:ascii="Times New Roman" w:hAnsi="Times New Roman" w:cs="Times New Roman"/>
          <w:sz w:val="20"/>
          <w:u w:val="single"/>
        </w:rPr>
        <w:t xml:space="preserve">UE fallback to RACH </w:t>
      </w:r>
      <w:r w:rsidR="00235E4B">
        <w:rPr>
          <w:rFonts w:ascii="Times New Roman" w:hAnsi="Times New Roman" w:cs="Times New Roman"/>
          <w:sz w:val="20"/>
          <w:u w:val="single"/>
        </w:rPr>
        <w:t>based target cell access</w:t>
      </w:r>
      <w:r w:rsidR="00FB3BC0" w:rsidRPr="00FB3BC0">
        <w:rPr>
          <w:rFonts w:ascii="Times New Roman" w:hAnsi="Times New Roman" w:cs="Times New Roman"/>
          <w:sz w:val="20"/>
          <w:u w:val="single"/>
        </w:rPr>
        <w:t xml:space="preserve"> after </w:t>
      </w:r>
      <w:r w:rsidR="000D7026" w:rsidRPr="00CF0B90">
        <w:rPr>
          <w:rFonts w:ascii="Times New Roman" w:hAnsi="Times New Roman" w:cs="Times New Roman"/>
          <w:sz w:val="20"/>
        </w:rPr>
        <w:t>timer to maintain the validity of TA</w:t>
      </w:r>
      <w:r w:rsidR="00FB3BC0" w:rsidRPr="00CF0B90">
        <w:rPr>
          <w:rFonts w:ascii="Times New Roman" w:hAnsi="Times New Roman" w:cs="Times New Roman"/>
          <w:sz w:val="20"/>
        </w:rPr>
        <w:t xml:space="preserve"> </w:t>
      </w:r>
      <w:r w:rsidR="00FB3BC0" w:rsidRPr="00FB3BC0">
        <w:rPr>
          <w:rFonts w:ascii="Times New Roman" w:hAnsi="Times New Roman" w:cs="Times New Roman"/>
          <w:sz w:val="20"/>
          <w:u w:val="single"/>
        </w:rPr>
        <w:t>expiry of the target cell of handover or based on radio-condition</w:t>
      </w:r>
      <w:r w:rsidR="00FB3BC0" w:rsidRPr="00FB3BC0">
        <w:rPr>
          <w:rFonts w:ascii="Times New Roman" w:hAnsi="Times New Roman" w:cs="Times New Roman"/>
          <w:sz w:val="20"/>
        </w:rPr>
        <w:t xml:space="preserve"> of the Reference Signal (SSB index) used as Quasi-co location (QCL) reference for PUSCH transmission (for using RACH config given in LTM RRC Reconfiguration)</w:t>
      </w:r>
      <w:r w:rsidR="00FB3BC0">
        <w:rPr>
          <w:rFonts w:ascii="Times New Roman" w:hAnsi="Times New Roman" w:cs="Times New Roman"/>
          <w:sz w:val="20"/>
        </w:rPr>
        <w:t xml:space="preserve">. </w:t>
      </w:r>
      <w:r w:rsidR="00CF71C9">
        <w:rPr>
          <w:rFonts w:ascii="Times New Roman" w:hAnsi="Times New Roman" w:cs="Times New Roman"/>
          <w:sz w:val="20"/>
        </w:rPr>
        <w:t>T</w:t>
      </w:r>
      <w:r w:rsidR="00FB3BC0">
        <w:rPr>
          <w:rFonts w:ascii="Times New Roman" w:hAnsi="Times New Roman" w:cs="Times New Roman"/>
          <w:sz w:val="20"/>
        </w:rPr>
        <w:t xml:space="preserve">he UE </w:t>
      </w:r>
      <w:r w:rsidR="00FB3BC0" w:rsidRPr="00FB3BC0">
        <w:rPr>
          <w:rFonts w:ascii="Times New Roman" w:hAnsi="Times New Roman" w:cs="Times New Roman"/>
          <w:sz w:val="20"/>
        </w:rPr>
        <w:t>does not wait until T304 expiry and initiates the RACH procedure that may have better coverage, e.g., switch to a better SSB/</w:t>
      </w:r>
      <w:proofErr w:type="gramStart"/>
      <w:r w:rsidR="00FB3BC0" w:rsidRPr="00FB3BC0">
        <w:rPr>
          <w:rFonts w:ascii="Times New Roman" w:hAnsi="Times New Roman" w:cs="Times New Roman"/>
          <w:sz w:val="20"/>
        </w:rPr>
        <w:t>beam</w:t>
      </w:r>
      <w:proofErr w:type="gramEnd"/>
    </w:p>
    <w:p w14:paraId="7FB11087" w14:textId="4F388614" w:rsidR="00FB3BC0" w:rsidRPr="00FB3BC0" w:rsidRDefault="00706356" w:rsidP="00FB3BC0">
      <w:pPr>
        <w:pStyle w:val="ListParagraph"/>
        <w:numPr>
          <w:ilvl w:val="0"/>
          <w:numId w:val="24"/>
        </w:numPr>
        <w:jc w:val="both"/>
        <w:rPr>
          <w:rFonts w:ascii="Times New Roman" w:hAnsi="Times New Roman" w:cs="Times New Roman"/>
          <w:sz w:val="20"/>
        </w:rPr>
      </w:pPr>
      <w:r>
        <w:rPr>
          <w:rFonts w:ascii="Times New Roman" w:hAnsi="Times New Roman" w:cs="Times New Roman"/>
          <w:sz w:val="20"/>
          <w:u w:val="single"/>
        </w:rPr>
        <w:t xml:space="preserve">Option 3: </w:t>
      </w:r>
      <w:r w:rsidR="00FB3BC0" w:rsidRPr="00706356">
        <w:rPr>
          <w:rFonts w:ascii="Times New Roman" w:hAnsi="Times New Roman" w:cs="Times New Roman"/>
          <w:sz w:val="20"/>
          <w:u w:val="single"/>
        </w:rPr>
        <w:t xml:space="preserve">UE declares early failure and initiates re-establishment/recovery after the </w:t>
      </w:r>
      <w:r w:rsidR="00C20203" w:rsidRPr="00CF0B90">
        <w:rPr>
          <w:rFonts w:ascii="Times New Roman" w:hAnsi="Times New Roman" w:cs="Times New Roman"/>
          <w:sz w:val="20"/>
        </w:rPr>
        <w:t xml:space="preserve">timer to maintain the validity of TA </w:t>
      </w:r>
      <w:r w:rsidR="00FB3BC0" w:rsidRPr="00706356">
        <w:rPr>
          <w:rFonts w:ascii="Times New Roman" w:hAnsi="Times New Roman" w:cs="Times New Roman"/>
          <w:sz w:val="20"/>
          <w:u w:val="single"/>
        </w:rPr>
        <w:t>expiry of the target cell</w:t>
      </w:r>
      <w:r w:rsidR="00FB3BC0" w:rsidRPr="00FB3BC0">
        <w:rPr>
          <w:rFonts w:ascii="Times New Roman" w:hAnsi="Times New Roman" w:cs="Times New Roman"/>
          <w:sz w:val="20"/>
        </w:rPr>
        <w:t xml:space="preserve"> of handover</w:t>
      </w:r>
      <w:r w:rsidR="00FB3BC0">
        <w:rPr>
          <w:rFonts w:ascii="Times New Roman" w:hAnsi="Times New Roman" w:cs="Times New Roman"/>
          <w:sz w:val="20"/>
        </w:rPr>
        <w:t xml:space="preserve">. Thus, </w:t>
      </w:r>
      <w:r w:rsidR="00FB3BC0">
        <w:rPr>
          <w:rFonts w:ascii="Times New Roman" w:eastAsia="Times New Roman" w:hAnsi="Times New Roman" w:cs="Times New Roman"/>
          <w:sz w:val="20"/>
          <w:lang w:val="en-GB"/>
        </w:rPr>
        <w:t>t</w:t>
      </w:r>
      <w:r w:rsidR="00FB3BC0" w:rsidRPr="00FB3BC0">
        <w:rPr>
          <w:rFonts w:ascii="Times New Roman" w:hAnsi="Times New Roman" w:cs="Times New Roman"/>
          <w:sz w:val="20"/>
        </w:rPr>
        <w:t xml:space="preserve">he UE does not wait until T304 expiry and initiates the re-establishment (or recovery if configured). </w:t>
      </w:r>
      <w:r w:rsidR="00FB3BC0">
        <w:rPr>
          <w:rFonts w:ascii="Times New Roman" w:hAnsi="Times New Roman" w:cs="Times New Roman"/>
          <w:sz w:val="20"/>
        </w:rPr>
        <w:t xml:space="preserve">Such approach may </w:t>
      </w:r>
      <w:r w:rsidR="00FB3BC0" w:rsidRPr="00FB3BC0">
        <w:rPr>
          <w:rFonts w:ascii="Times New Roman" w:hAnsi="Times New Roman" w:cs="Times New Roman"/>
          <w:sz w:val="20"/>
        </w:rPr>
        <w:t xml:space="preserve">be a good approach in case fallback mechanisms are not applicable. </w:t>
      </w:r>
    </w:p>
    <w:p w14:paraId="6831F532" w14:textId="467C8D06" w:rsidR="00FB3BC0" w:rsidRDefault="00706356" w:rsidP="00977179">
      <w:pPr>
        <w:jc w:val="both"/>
        <w:rPr>
          <w:b/>
        </w:rPr>
      </w:pPr>
      <w:r w:rsidRPr="00503A49">
        <w:rPr>
          <w:b/>
          <w:bCs/>
        </w:rPr>
        <w:t xml:space="preserve">Proposal </w:t>
      </w:r>
      <w:r w:rsidR="1518A594" w:rsidRPr="09AE75E5">
        <w:rPr>
          <w:b/>
          <w:bCs/>
        </w:rPr>
        <w:t>3</w:t>
      </w:r>
      <w:r w:rsidRPr="00503A49">
        <w:rPr>
          <w:b/>
          <w:bCs/>
        </w:rPr>
        <w:t xml:space="preserve">: </w:t>
      </w:r>
      <w:r w:rsidR="00503A49">
        <w:rPr>
          <w:b/>
          <w:bCs/>
        </w:rPr>
        <w:t>RAN2 should discuss on the above options and decide which is the preferred way to be followed.</w:t>
      </w:r>
    </w:p>
    <w:p w14:paraId="00A78B79" w14:textId="198EF9BE" w:rsidR="00112AC6" w:rsidRDefault="00E6331B" w:rsidP="00977179">
      <w:pPr>
        <w:jc w:val="both"/>
      </w:pPr>
      <w:proofErr w:type="gramStart"/>
      <w:r w:rsidRPr="00ED26DF">
        <w:t>Similarly</w:t>
      </w:r>
      <w:proofErr w:type="gramEnd"/>
      <w:r w:rsidRPr="00ED26DF">
        <w:t xml:space="preserve"> to the </w:t>
      </w:r>
      <w:r>
        <w:t xml:space="preserve">case with the TA validity expiration, the UE should be able to </w:t>
      </w:r>
      <w:r w:rsidR="00920CAD">
        <w:t>receive the UL grant with</w:t>
      </w:r>
      <w:r>
        <w:t xml:space="preserve"> </w:t>
      </w:r>
      <w:r w:rsidR="00961158">
        <w:t xml:space="preserve">PDCCH of the </w:t>
      </w:r>
      <w:r w:rsidR="00B3686A">
        <w:t xml:space="preserve">target cell. </w:t>
      </w:r>
      <w:r w:rsidR="00112AC6">
        <w:t xml:space="preserve">However, the amount of time the UE should wait for the UL grant should be </w:t>
      </w:r>
      <w:r w:rsidR="009079CB">
        <w:t>guarded</w:t>
      </w:r>
      <w:r w:rsidR="00D93DF2">
        <w:t xml:space="preserve">. This can be done either using a timer, or </w:t>
      </w:r>
      <w:r w:rsidR="00B15F03">
        <w:t xml:space="preserve">using a certain </w:t>
      </w:r>
      <w:r w:rsidR="00CB3CA0">
        <w:t>number</w:t>
      </w:r>
      <w:r w:rsidR="00B15F03">
        <w:t xml:space="preserve"> of </w:t>
      </w:r>
      <w:r w:rsidR="00CB3CA0" w:rsidRPr="00112AC6">
        <w:t>PDCCH occasions</w:t>
      </w:r>
      <w:r w:rsidR="001755E0">
        <w:t>, for not waiting for the T304 to expire and perform recovery</w:t>
      </w:r>
      <w:r w:rsidR="00FA4279">
        <w:t xml:space="preserve">. </w:t>
      </w:r>
      <w:r w:rsidR="00401699">
        <w:t xml:space="preserve">In case the </w:t>
      </w:r>
      <w:r w:rsidR="00000575">
        <w:t>condition</w:t>
      </w:r>
      <w:r w:rsidR="00C464B2">
        <w:t xml:space="preserve"> for receiving UL grant</w:t>
      </w:r>
      <w:r w:rsidR="00000575">
        <w:t xml:space="preserve"> (i.e., timer or counter) expires, the </w:t>
      </w:r>
      <w:r w:rsidR="00401699">
        <w:t xml:space="preserve">UE should </w:t>
      </w:r>
      <w:r w:rsidR="00000575">
        <w:t xml:space="preserve">not perform </w:t>
      </w:r>
      <w:r w:rsidR="00175111">
        <w:t>re-establishment/</w:t>
      </w:r>
      <w:r w:rsidR="00C91C6F">
        <w:t>recovery,</w:t>
      </w:r>
      <w:r w:rsidR="00175111">
        <w:t xml:space="preserve"> but it should </w:t>
      </w:r>
      <w:r w:rsidR="00787EC3">
        <w:t>fallback to RACH based access</w:t>
      </w:r>
      <w:r w:rsidR="00175111">
        <w:t xml:space="preserve"> to</w:t>
      </w:r>
      <w:r w:rsidR="00C47716">
        <w:t xml:space="preserve"> the </w:t>
      </w:r>
      <w:r w:rsidR="00175111">
        <w:t>target cell.</w:t>
      </w:r>
    </w:p>
    <w:p w14:paraId="0460FBB1" w14:textId="333AFE44" w:rsidR="009D7DD1" w:rsidRPr="00ED26DF" w:rsidRDefault="00175111" w:rsidP="00C91C6F">
      <w:pPr>
        <w:spacing w:line="259" w:lineRule="auto"/>
        <w:jc w:val="both"/>
        <w:rPr>
          <w:b/>
        </w:rPr>
      </w:pPr>
      <w:r w:rsidRPr="00ED26DF">
        <w:rPr>
          <w:b/>
        </w:rPr>
        <w:t xml:space="preserve">Proposal </w:t>
      </w:r>
      <w:r w:rsidR="1F275CF4" w:rsidRPr="09AE75E5">
        <w:rPr>
          <w:b/>
          <w:bCs/>
        </w:rPr>
        <w:t>4</w:t>
      </w:r>
      <w:r w:rsidRPr="00ED26DF">
        <w:rPr>
          <w:b/>
        </w:rPr>
        <w:t xml:space="preserve">: The UE should be configured with a </w:t>
      </w:r>
      <w:r w:rsidR="00141498" w:rsidRPr="00ED26DF">
        <w:rPr>
          <w:b/>
        </w:rPr>
        <w:t xml:space="preserve">timer or </w:t>
      </w:r>
      <w:r w:rsidR="009C59C5" w:rsidRPr="00ED26DF">
        <w:rPr>
          <w:b/>
        </w:rPr>
        <w:t>a counter of PDCCH oc</w:t>
      </w:r>
      <w:r w:rsidR="00C23299" w:rsidRPr="00ED26DF">
        <w:rPr>
          <w:b/>
        </w:rPr>
        <w:t xml:space="preserve">casions to </w:t>
      </w:r>
      <w:r w:rsidR="00404BCF" w:rsidRPr="00ED26DF">
        <w:rPr>
          <w:b/>
        </w:rPr>
        <w:t xml:space="preserve">guard the time to access the target cell using LTM RACH-less access. This configuration can be part of the RRC; the details of this can be FFS. </w:t>
      </w:r>
    </w:p>
    <w:p w14:paraId="61CBFBBF" w14:textId="79393D6F" w:rsidR="00175111" w:rsidRPr="00CC6FAD" w:rsidRDefault="00175111" w:rsidP="00C91C6F">
      <w:pPr>
        <w:spacing w:line="259" w:lineRule="auto"/>
        <w:jc w:val="both"/>
        <w:rPr>
          <w:b/>
        </w:rPr>
      </w:pPr>
      <w:r w:rsidRPr="00ED26DF">
        <w:rPr>
          <w:b/>
        </w:rPr>
        <w:t xml:space="preserve">Proposal </w:t>
      </w:r>
      <w:r w:rsidR="0C8A071B" w:rsidRPr="09AE75E5">
        <w:rPr>
          <w:b/>
          <w:bCs/>
        </w:rPr>
        <w:t>5</w:t>
      </w:r>
      <w:r w:rsidRPr="00ED26DF">
        <w:rPr>
          <w:b/>
        </w:rPr>
        <w:t>:</w:t>
      </w:r>
      <w:r w:rsidR="00404BCF" w:rsidRPr="00ED26DF">
        <w:rPr>
          <w:b/>
        </w:rPr>
        <w:t xml:space="preserve"> The UE </w:t>
      </w:r>
      <w:r w:rsidR="00BD69C4" w:rsidRPr="00ED26DF">
        <w:rPr>
          <w:b/>
        </w:rPr>
        <w:t xml:space="preserve">should perform RACH based access to the target cell, </w:t>
      </w:r>
      <w:r w:rsidR="00404BCF" w:rsidRPr="00ED26DF">
        <w:rPr>
          <w:b/>
        </w:rPr>
        <w:t xml:space="preserve">once the </w:t>
      </w:r>
      <w:r w:rsidR="004121B3" w:rsidRPr="00ED26DF">
        <w:rPr>
          <w:b/>
        </w:rPr>
        <w:t>conditions to guard the cell change process for the reception of the UL grant expires</w:t>
      </w:r>
      <w:r w:rsidR="00125A22" w:rsidRPr="00ED26DF">
        <w:rPr>
          <w:b/>
        </w:rPr>
        <w:t>.</w:t>
      </w:r>
    </w:p>
    <w:p w14:paraId="0969052C" w14:textId="50E292AE" w:rsidR="0068594B" w:rsidRDefault="0068594B" w:rsidP="00977179">
      <w:pPr>
        <w:jc w:val="both"/>
      </w:pPr>
      <w:r>
        <w:t xml:space="preserve">Furthermore, RAN2 has not agreed on the start of T304 timer for LTM. In our understanding, T304 should start upon execution of LTM </w:t>
      </w:r>
      <w:proofErr w:type="gramStart"/>
      <w:r>
        <w:t>i.e.</w:t>
      </w:r>
      <w:proofErr w:type="gramEnd"/>
      <w:r>
        <w:t xml:space="preserve"> upon applying the stored </w:t>
      </w:r>
      <w:proofErr w:type="spellStart"/>
      <w:r>
        <w:t>RRCReconfiguration</w:t>
      </w:r>
      <w:proofErr w:type="spellEnd"/>
      <w:r>
        <w:t xml:space="preserve"> message. This is the legacy procedure for CHO which should be reused in LTM.</w:t>
      </w:r>
    </w:p>
    <w:p w14:paraId="33ED690C" w14:textId="23F6B726" w:rsidR="0068594B" w:rsidRPr="0068594B" w:rsidRDefault="0068594B" w:rsidP="00C91C6F">
      <w:pPr>
        <w:spacing w:line="259" w:lineRule="auto"/>
        <w:jc w:val="both"/>
        <w:rPr>
          <w:b/>
          <w:bCs/>
          <w:lang w:val="en-US"/>
        </w:rPr>
      </w:pPr>
      <w:r w:rsidRPr="00ED26DF">
        <w:rPr>
          <w:b/>
        </w:rPr>
        <w:t xml:space="preserve">Proposal </w:t>
      </w:r>
      <w:r w:rsidR="03FD877C" w:rsidRPr="09AE75E5">
        <w:rPr>
          <w:b/>
          <w:bCs/>
        </w:rPr>
        <w:t>6</w:t>
      </w:r>
      <w:r w:rsidRPr="00ED26DF">
        <w:rPr>
          <w:b/>
        </w:rPr>
        <w:t>: T304 timer starts at LTM execution i.e</w:t>
      </w:r>
      <w:r w:rsidR="27FAAA7D" w:rsidRPr="1212B885">
        <w:rPr>
          <w:b/>
          <w:bCs/>
        </w:rPr>
        <w:t>.,</w:t>
      </w:r>
      <w:r w:rsidRPr="00ED26DF">
        <w:rPr>
          <w:b/>
        </w:rPr>
        <w:t xml:space="preserve"> upon applying the stored </w:t>
      </w:r>
      <w:proofErr w:type="spellStart"/>
      <w:r w:rsidRPr="00ED26DF">
        <w:rPr>
          <w:b/>
        </w:rPr>
        <w:t>RRCReconfiguration</w:t>
      </w:r>
      <w:proofErr w:type="spellEnd"/>
      <w:r w:rsidRPr="00ED26DF">
        <w:rPr>
          <w:b/>
        </w:rPr>
        <w:t xml:space="preserve"> message. </w:t>
      </w:r>
    </w:p>
    <w:p w14:paraId="2861D707" w14:textId="4EB8B29F" w:rsidR="00893394" w:rsidRDefault="0051270A" w:rsidP="0051270A">
      <w:pPr>
        <w:pStyle w:val="Heading2"/>
        <w:rPr>
          <w:lang w:val="en-US"/>
        </w:rPr>
      </w:pPr>
      <w:r w:rsidRPr="0051270A">
        <w:rPr>
          <w:lang w:val="en-US"/>
        </w:rPr>
        <w:lastRenderedPageBreak/>
        <w:t>2.</w:t>
      </w:r>
      <w:r w:rsidR="00BC41F7">
        <w:rPr>
          <w:lang w:val="en-US"/>
        </w:rPr>
        <w:t>2</w:t>
      </w:r>
      <w:r w:rsidR="00BC41F7" w:rsidRPr="0051270A">
        <w:rPr>
          <w:lang w:val="en-US"/>
        </w:rPr>
        <w:t xml:space="preserve"> </w:t>
      </w:r>
      <w:r>
        <w:rPr>
          <w:lang w:val="en-US"/>
        </w:rPr>
        <w:tab/>
      </w:r>
      <w:r w:rsidRPr="0051270A">
        <w:rPr>
          <w:lang w:val="en-US"/>
        </w:rPr>
        <w:t>TCI state activation command</w:t>
      </w:r>
    </w:p>
    <w:p w14:paraId="46CED625" w14:textId="71818189" w:rsidR="00516722" w:rsidRPr="00FC1EE9" w:rsidRDefault="00516722" w:rsidP="007478C2">
      <w:pPr>
        <w:spacing w:after="0"/>
        <w:jc w:val="both"/>
        <w:rPr>
          <w:lang w:val="en-US"/>
        </w:rPr>
      </w:pPr>
      <w:r w:rsidRPr="00FC1EE9">
        <w:rPr>
          <w:lang w:val="en-US"/>
        </w:rPr>
        <w:t xml:space="preserve">RAN1 has agreed to support the </w:t>
      </w:r>
      <w:r>
        <w:rPr>
          <w:lang w:val="en-US"/>
        </w:rPr>
        <w:t xml:space="preserve">measurement reporting </w:t>
      </w:r>
      <w:r w:rsidRPr="00FC1EE9">
        <w:rPr>
          <w:lang w:val="en-US"/>
        </w:rPr>
        <w:t xml:space="preserve">of one or more candidate cells in a single reporting instance. Based on the L1 measurement reporting, the serving DU may decide to activate TCI states of more than one candidate cell which has been agreed in RAN1. Since handover signaling requires efficient signaling methods to be in place to minimize any HO related overhead and reduce the points of potential interruption. Thus, it would be beneficial to have a flexibility with a TCI state activation command providing possibility to activate one or more TCI states for multiple candidate cells. This will certainly </w:t>
      </w:r>
      <w:r>
        <w:rPr>
          <w:lang w:val="en-US"/>
        </w:rPr>
        <w:t>require</w:t>
      </w:r>
      <w:r w:rsidRPr="00FC1EE9">
        <w:rPr>
          <w:lang w:val="en-US"/>
        </w:rPr>
        <w:t xml:space="preserve"> less resource/signaling overhead compared to using a separate TCI activation command for each candidate cell for which one or more TCI states to be activated.</w:t>
      </w:r>
      <w:r w:rsidR="009514A8">
        <w:rPr>
          <w:lang w:val="en-US"/>
        </w:rPr>
        <w:t xml:space="preserve"> By </w:t>
      </w:r>
      <w:r w:rsidR="007D0825">
        <w:rPr>
          <w:lang w:val="en-US"/>
        </w:rPr>
        <w:t>default, all the TCI states configured for the LTM purpose should be considered to be deactivated (</w:t>
      </w:r>
      <w:proofErr w:type="gramStart"/>
      <w:r w:rsidR="007D0825">
        <w:rPr>
          <w:lang w:val="en-US"/>
        </w:rPr>
        <w:t>i.e.</w:t>
      </w:r>
      <w:proofErr w:type="gramEnd"/>
      <w:r w:rsidR="007D0825">
        <w:rPr>
          <w:lang w:val="en-US"/>
        </w:rPr>
        <w:t xml:space="preserve"> not activated) before</w:t>
      </w:r>
      <w:r w:rsidR="00B602FB">
        <w:rPr>
          <w:lang w:val="en-US"/>
        </w:rPr>
        <w:t xml:space="preserve"> the activation command.</w:t>
      </w:r>
    </w:p>
    <w:p w14:paraId="07FA1BA4" w14:textId="77777777" w:rsidR="00516722" w:rsidRPr="00FC1EE9" w:rsidRDefault="00516722" w:rsidP="007478C2">
      <w:pPr>
        <w:spacing w:after="0"/>
        <w:jc w:val="both"/>
        <w:rPr>
          <w:lang w:val="en-US"/>
        </w:rPr>
      </w:pPr>
      <w:r w:rsidRPr="00FC1EE9">
        <w:rPr>
          <w:lang w:val="en-US"/>
        </w:rPr>
        <w:t> </w:t>
      </w:r>
    </w:p>
    <w:p w14:paraId="21032006" w14:textId="06BBBFAF" w:rsidR="00516722" w:rsidRPr="00516722" w:rsidRDefault="00516722" w:rsidP="007478C2">
      <w:pPr>
        <w:spacing w:after="0"/>
        <w:jc w:val="both"/>
        <w:rPr>
          <w:b/>
          <w:bCs/>
          <w:lang w:val="en-US"/>
        </w:rPr>
      </w:pPr>
      <w:r w:rsidRPr="00516722">
        <w:rPr>
          <w:b/>
          <w:bCs/>
          <w:lang w:val="en-US"/>
        </w:rPr>
        <w:t>Proposal</w:t>
      </w:r>
      <w:r w:rsidR="66996EBD" w:rsidRPr="09AE75E5">
        <w:rPr>
          <w:b/>
          <w:bCs/>
          <w:lang w:val="en-US"/>
        </w:rPr>
        <w:t xml:space="preserve"> 7</w:t>
      </w:r>
      <w:r w:rsidRPr="00516722">
        <w:rPr>
          <w:b/>
          <w:bCs/>
          <w:lang w:val="en-US"/>
        </w:rPr>
        <w:t>: Activation of one or more TCI states for multiple candidate cells should be allowed with the same MAC-CE activation command.</w:t>
      </w:r>
    </w:p>
    <w:p w14:paraId="0FF03790" w14:textId="52AA9718" w:rsidR="00516722" w:rsidRPr="00FC1EE9" w:rsidRDefault="00516722" w:rsidP="007478C2">
      <w:pPr>
        <w:spacing w:after="0"/>
        <w:jc w:val="both"/>
        <w:rPr>
          <w:lang w:val="en-US"/>
        </w:rPr>
      </w:pPr>
    </w:p>
    <w:p w14:paraId="0D903754" w14:textId="43866C03" w:rsidR="00516722" w:rsidRPr="00516722" w:rsidRDefault="00516722" w:rsidP="007478C2">
      <w:pPr>
        <w:jc w:val="both"/>
        <w:rPr>
          <w:lang w:val="en-US"/>
        </w:rPr>
      </w:pPr>
      <w:r w:rsidRPr="00516722">
        <w:rPr>
          <w:lang w:val="en-US"/>
        </w:rPr>
        <w:t>I</w:t>
      </w:r>
      <w:r w:rsidRPr="00516722">
        <w:t>n Rel-17 unified TCI activation/deactivation, once the (unified) TCI state has been activated, the deactivation of the previously activated TCI state is done by activating another TCI states. Thus, the deactivation is implicit if the latest MAC CE providing the activation command does not include the previously activated TCI state. For serving cell beam management with unified TCI State framework, it is not possible to deactivate TCI state</w:t>
      </w:r>
      <w:r w:rsidR="00930F00">
        <w:t>s</w:t>
      </w:r>
      <w:r w:rsidRPr="00516722">
        <w:t>, i.e., use a MAC CE to deactivate the TCI States for the cell</w:t>
      </w:r>
      <w:r w:rsidR="00930F00">
        <w:t xml:space="preserve"> without activating another</w:t>
      </w:r>
      <w:r w:rsidR="008F3ECC">
        <w:t xml:space="preserve"> since</w:t>
      </w:r>
      <w:r w:rsidRPr="00516722">
        <w:t xml:space="preserve"> </w:t>
      </w:r>
      <w:r w:rsidR="008F3ECC">
        <w:t>s</w:t>
      </w:r>
      <w:r w:rsidRPr="00516722">
        <w:t xml:space="preserve">uch feature would have no practical use for </w:t>
      </w:r>
      <w:r w:rsidR="008F3ECC">
        <w:t>serv</w:t>
      </w:r>
      <w:r w:rsidR="007D46FA">
        <w:t>ing</w:t>
      </w:r>
      <w:r w:rsidR="008F3ECC">
        <w:t xml:space="preserve"> cell </w:t>
      </w:r>
      <w:r w:rsidRPr="00516722">
        <w:t xml:space="preserve">beam management. </w:t>
      </w:r>
    </w:p>
    <w:p w14:paraId="70A744D7" w14:textId="18C8627C" w:rsidR="00516722" w:rsidRPr="00516722" w:rsidRDefault="00516722" w:rsidP="007478C2">
      <w:pPr>
        <w:jc w:val="both"/>
        <w:rPr>
          <w:lang w:val="en-US"/>
        </w:rPr>
      </w:pPr>
      <w:r w:rsidRPr="00516722">
        <w:rPr>
          <w:lang w:val="en-US"/>
        </w:rPr>
        <w:t xml:space="preserve">However, for LTM, since there may be multiple candidate cells with which the UE may be monitoring activated TCI states. </w:t>
      </w:r>
      <w:proofErr w:type="gramStart"/>
      <w:r w:rsidRPr="00516722">
        <w:rPr>
          <w:lang w:val="en-US"/>
        </w:rPr>
        <w:t>In order to</w:t>
      </w:r>
      <w:proofErr w:type="gramEnd"/>
      <w:r w:rsidRPr="00516722">
        <w:rPr>
          <w:lang w:val="en-US"/>
        </w:rPr>
        <w:t xml:space="preserve"> manage the overhead of UE monitoring of activated TCI states, specially to minimize the monitoring of unnecessary activated TCI states for a candidate cell which may not be a potential target cell anymore, there should be tools to deactivate TCI state(s) for a certain candidate cell. One solution is to employ a timer-based approach. A</w:t>
      </w:r>
      <w:r w:rsidRPr="00516722">
        <w:t xml:space="preserve"> </w:t>
      </w:r>
      <w:r w:rsidR="001A1903" w:rsidRPr="00516722">
        <w:t>timer can</w:t>
      </w:r>
      <w:r w:rsidRPr="00516722">
        <w:t xml:space="preserve"> be configured for the supervision of already activated TCI states (for LTM). An alternative could be to use signalling </w:t>
      </w:r>
      <w:r w:rsidR="00FC7FC5">
        <w:t xml:space="preserve">based </w:t>
      </w:r>
      <w:r w:rsidR="00C274BC">
        <w:t xml:space="preserve">approach </w:t>
      </w:r>
      <w:r w:rsidRPr="00516722">
        <w:t>to deactivate one or more TCI states of a candidate cell (or set of candidate cells)</w:t>
      </w:r>
      <w:r w:rsidR="008F4E50">
        <w:t>.</w:t>
      </w:r>
    </w:p>
    <w:p w14:paraId="5C08D634" w14:textId="3875B539" w:rsidR="00516722" w:rsidRPr="00516722" w:rsidRDefault="00516722" w:rsidP="007478C2">
      <w:pPr>
        <w:spacing w:after="0"/>
        <w:jc w:val="both"/>
        <w:rPr>
          <w:lang w:val="en-US"/>
        </w:rPr>
      </w:pPr>
      <w:r w:rsidRPr="00516722">
        <w:rPr>
          <w:b/>
          <w:bCs/>
        </w:rPr>
        <w:t>Observation</w:t>
      </w:r>
      <w:r w:rsidR="570926AB" w:rsidRPr="3B533EA8">
        <w:rPr>
          <w:b/>
          <w:bCs/>
        </w:rPr>
        <w:t xml:space="preserve"> 5</w:t>
      </w:r>
      <w:r w:rsidRPr="00516722">
        <w:rPr>
          <w:b/>
          <w:bCs/>
        </w:rPr>
        <w:t xml:space="preserve">: </w:t>
      </w:r>
      <w:r w:rsidRPr="00516722">
        <w:rPr>
          <w:b/>
          <w:bCs/>
          <w:lang w:val="en-US"/>
        </w:rPr>
        <w:t>Keep the UE tracking the timing of the TCI states of candidate cells which will not be selected as the target cell may cause the UE unnecessarily monitor TCI states that are no longer relevant for cell switch purposes</w:t>
      </w:r>
      <w:r w:rsidRPr="00516722">
        <w:rPr>
          <w:lang w:val="en-US"/>
        </w:rPr>
        <w:t>.</w:t>
      </w:r>
    </w:p>
    <w:p w14:paraId="5A0E6A85" w14:textId="77777777" w:rsidR="00516722" w:rsidRPr="00516722" w:rsidRDefault="00516722" w:rsidP="007478C2">
      <w:pPr>
        <w:spacing w:after="0"/>
        <w:jc w:val="both"/>
      </w:pPr>
      <w:r w:rsidRPr="00516722">
        <w:rPr>
          <w:b/>
          <w:bCs/>
        </w:rPr>
        <w:t> </w:t>
      </w:r>
    </w:p>
    <w:p w14:paraId="76196427" w14:textId="5F65F8CD" w:rsidR="00516722" w:rsidRPr="00516722" w:rsidRDefault="00516722" w:rsidP="007478C2">
      <w:pPr>
        <w:spacing w:after="0"/>
        <w:jc w:val="both"/>
      </w:pPr>
      <w:r w:rsidRPr="00516722">
        <w:rPr>
          <w:b/>
          <w:bCs/>
        </w:rPr>
        <w:t>Proposal</w:t>
      </w:r>
      <w:r w:rsidR="02E6CFA4" w:rsidRPr="67A2C7C6">
        <w:rPr>
          <w:b/>
          <w:bCs/>
        </w:rPr>
        <w:t xml:space="preserve"> 8</w:t>
      </w:r>
      <w:r w:rsidRPr="00516722">
        <w:rPr>
          <w:b/>
          <w:bCs/>
        </w:rPr>
        <w:t xml:space="preserve">: Support of deactivation of LTM TCI states for a certain candidate cell </w:t>
      </w:r>
      <w:r w:rsidRPr="00516722">
        <w:t>(or set of candidate cells)</w:t>
      </w:r>
      <w:r w:rsidRPr="00516722">
        <w:rPr>
          <w:b/>
          <w:bCs/>
        </w:rPr>
        <w:t xml:space="preserve"> using:</w:t>
      </w:r>
    </w:p>
    <w:p w14:paraId="47242554" w14:textId="5A76DFF9" w:rsidR="00516722" w:rsidRPr="00FC1EE9" w:rsidRDefault="00516722" w:rsidP="007478C2">
      <w:pPr>
        <w:numPr>
          <w:ilvl w:val="0"/>
          <w:numId w:val="28"/>
        </w:numPr>
        <w:spacing w:after="0"/>
        <w:jc w:val="both"/>
        <w:textAlignment w:val="center"/>
      </w:pPr>
      <w:r w:rsidRPr="00516722">
        <w:rPr>
          <w:b/>
          <w:bCs/>
        </w:rPr>
        <w:t xml:space="preserve">Alternative 1: Timer-based approach, i.e., a </w:t>
      </w:r>
      <w:r w:rsidR="001A1903" w:rsidRPr="00516722">
        <w:rPr>
          <w:b/>
          <w:bCs/>
        </w:rPr>
        <w:t>timer can</w:t>
      </w:r>
      <w:r w:rsidRPr="00516722">
        <w:rPr>
          <w:b/>
          <w:bCs/>
        </w:rPr>
        <w:t xml:space="preserve"> be configured for the supervision of already activated TCI states.</w:t>
      </w:r>
    </w:p>
    <w:p w14:paraId="50B8D66A" w14:textId="0D41511F" w:rsidR="00516722" w:rsidRPr="00FC1EE9" w:rsidRDefault="00516722" w:rsidP="007478C2">
      <w:pPr>
        <w:numPr>
          <w:ilvl w:val="0"/>
          <w:numId w:val="28"/>
        </w:numPr>
        <w:spacing w:after="0"/>
        <w:jc w:val="both"/>
        <w:textAlignment w:val="center"/>
      </w:pPr>
      <w:r w:rsidRPr="00516722">
        <w:rPr>
          <w:b/>
          <w:bCs/>
        </w:rPr>
        <w:t xml:space="preserve">Alternative 2: </w:t>
      </w:r>
      <w:r w:rsidR="002D5E4A">
        <w:rPr>
          <w:b/>
          <w:bCs/>
        </w:rPr>
        <w:t>S</w:t>
      </w:r>
      <w:r w:rsidRPr="00516722">
        <w:rPr>
          <w:b/>
          <w:bCs/>
        </w:rPr>
        <w:t>ignalling</w:t>
      </w:r>
      <w:r w:rsidR="002D5E4A">
        <w:rPr>
          <w:b/>
          <w:bCs/>
        </w:rPr>
        <w:t xml:space="preserve"> approach</w:t>
      </w:r>
      <w:r w:rsidRPr="00516722">
        <w:rPr>
          <w:b/>
          <w:bCs/>
        </w:rPr>
        <w:t xml:space="preserve"> to deactivate TCI states of a candidate cell (or set of candidate cells).</w:t>
      </w:r>
    </w:p>
    <w:p w14:paraId="7E37A711" w14:textId="77777777" w:rsidR="00516722" w:rsidRPr="00EF194D" w:rsidRDefault="00516722" w:rsidP="00EF194D">
      <w:pPr>
        <w:rPr>
          <w:lang w:val="en-US"/>
        </w:rPr>
      </w:pPr>
    </w:p>
    <w:p w14:paraId="636A7B66" w14:textId="2EC748F5" w:rsidR="00E66770" w:rsidRDefault="00C96DC5" w:rsidP="008D70B6">
      <w:pPr>
        <w:pStyle w:val="Heading2"/>
      </w:pPr>
      <w:r>
        <w:t xml:space="preserve">2.3 </w:t>
      </w:r>
      <w:r w:rsidR="00E66770">
        <w:t xml:space="preserve">BWP for TCI state </w:t>
      </w:r>
      <w:r w:rsidR="003A5676">
        <w:t>A</w:t>
      </w:r>
      <w:r w:rsidR="00E66770">
        <w:t>ctivation</w:t>
      </w:r>
      <w:r w:rsidR="003A5676">
        <w:t xml:space="preserve"> and Indication</w:t>
      </w:r>
    </w:p>
    <w:p w14:paraId="3D88C2C1" w14:textId="1D7B44C0" w:rsidR="00E66770" w:rsidRDefault="00E66770" w:rsidP="00E66770">
      <w:pPr>
        <w:jc w:val="both"/>
        <w:rPr>
          <w:lang w:eastAsia="zh-CN"/>
        </w:rPr>
      </w:pPr>
      <w:r w:rsidRPr="009A1354">
        <w:rPr>
          <w:lang w:eastAsia="zh-CN"/>
        </w:rPr>
        <w:t xml:space="preserve">RAN1 has agreed that TCI state can be activated for </w:t>
      </w:r>
      <w:r>
        <w:rPr>
          <w:lang w:eastAsia="zh-CN"/>
        </w:rPr>
        <w:t xml:space="preserve">a candidate cell (or for multiple candidate cells). However, </w:t>
      </w:r>
      <w:r w:rsidR="00C11663">
        <w:rPr>
          <w:lang w:eastAsia="zh-CN"/>
        </w:rPr>
        <w:t>as per the RAN2 MAC running CR 38.321 [2],</w:t>
      </w:r>
      <w:r>
        <w:rPr>
          <w:lang w:eastAsia="zh-CN"/>
        </w:rPr>
        <w:t xml:space="preserve"> the candidate cell TCI state activation/deactivation command does not provide the BWP information for the activated TCI IDs.  </w:t>
      </w:r>
      <w:r w:rsidR="00C11663">
        <w:rPr>
          <w:lang w:eastAsia="zh-CN"/>
        </w:rPr>
        <w:t>Moreover, in RAN2#123, it has been agreed to not provide any BWP ID information in the LTM cell switch command.</w:t>
      </w:r>
    </w:p>
    <w:p w14:paraId="42A42C2C" w14:textId="2CAEF6BB" w:rsidR="00E66770" w:rsidRDefault="00E66770" w:rsidP="00E66770">
      <w:pPr>
        <w:jc w:val="both"/>
        <w:rPr>
          <w:b/>
          <w:bCs/>
          <w:lang w:eastAsia="zh-CN"/>
        </w:rPr>
      </w:pPr>
      <w:r w:rsidRPr="00634F85">
        <w:rPr>
          <w:b/>
          <w:bCs/>
          <w:lang w:eastAsia="zh-CN"/>
        </w:rPr>
        <w:t>Observation</w:t>
      </w:r>
      <w:r w:rsidR="16A92B0A" w:rsidRPr="3B533EA8">
        <w:rPr>
          <w:b/>
          <w:bCs/>
          <w:lang w:eastAsia="zh-CN"/>
        </w:rPr>
        <w:t xml:space="preserve"> 6</w:t>
      </w:r>
      <w:r>
        <w:rPr>
          <w:b/>
          <w:bCs/>
          <w:lang w:eastAsia="zh-CN"/>
        </w:rPr>
        <w:t xml:space="preserve">: </w:t>
      </w:r>
      <w:r w:rsidR="00C11663">
        <w:rPr>
          <w:b/>
          <w:bCs/>
          <w:lang w:eastAsia="zh-CN"/>
        </w:rPr>
        <w:t>C</w:t>
      </w:r>
      <w:r>
        <w:rPr>
          <w:b/>
          <w:bCs/>
          <w:lang w:eastAsia="zh-CN"/>
        </w:rPr>
        <w:t>andidate cell TCI state activation/deactivation command does not include BWP information for which the TCI States are activated.</w:t>
      </w:r>
      <w:r w:rsidR="00C11663">
        <w:rPr>
          <w:b/>
          <w:bCs/>
          <w:lang w:eastAsia="zh-CN"/>
        </w:rPr>
        <w:t xml:space="preserve"> Also, cell switch command does not include any BWP ID information.</w:t>
      </w:r>
    </w:p>
    <w:p w14:paraId="2F3F6775" w14:textId="034A1D86" w:rsidR="00E66770" w:rsidRPr="006815E7" w:rsidRDefault="00E66770" w:rsidP="00E66770">
      <w:pPr>
        <w:jc w:val="both"/>
        <w:rPr>
          <w:lang w:eastAsia="zh-CN"/>
        </w:rPr>
      </w:pPr>
      <w:r w:rsidRPr="006815E7">
        <w:rPr>
          <w:lang w:eastAsia="zh-CN"/>
        </w:rPr>
        <w:t xml:space="preserve">Since the UE does not currently receive any information for which BWP the TCI States are activated </w:t>
      </w:r>
      <w:r w:rsidR="00C11663">
        <w:rPr>
          <w:lang w:eastAsia="zh-CN"/>
        </w:rPr>
        <w:t xml:space="preserve">and indicated, </w:t>
      </w:r>
      <w:r w:rsidRPr="006815E7">
        <w:rPr>
          <w:lang w:eastAsia="zh-CN"/>
        </w:rPr>
        <w:t xml:space="preserve">it is not able to map the </w:t>
      </w:r>
      <w:r w:rsidR="00C11663">
        <w:rPr>
          <w:lang w:eastAsia="zh-CN"/>
        </w:rPr>
        <w:t xml:space="preserve">activated </w:t>
      </w:r>
      <w:r w:rsidR="00C11663" w:rsidRPr="003D7F28">
        <w:rPr>
          <w:lang w:eastAsia="zh-CN"/>
        </w:rPr>
        <w:t xml:space="preserve">TCI State </w:t>
      </w:r>
      <w:r w:rsidR="00C11663">
        <w:rPr>
          <w:lang w:eastAsia="zh-CN"/>
        </w:rPr>
        <w:t>(if UE retains the active TCI states of the target cell which is being discussed in RAN1) or/and the indicated</w:t>
      </w:r>
      <w:r w:rsidR="00C11663" w:rsidRPr="006815E7">
        <w:rPr>
          <w:lang w:eastAsia="zh-CN"/>
        </w:rPr>
        <w:t xml:space="preserve"> </w:t>
      </w:r>
      <w:r w:rsidRPr="006815E7">
        <w:rPr>
          <w:lang w:eastAsia="zh-CN"/>
        </w:rPr>
        <w:t>TCI State to the correct BWP used as first active BWP (DL/UL)</w:t>
      </w:r>
      <w:r>
        <w:rPr>
          <w:lang w:eastAsia="zh-CN"/>
        </w:rPr>
        <w:t xml:space="preserve"> given in the candidate cell configuration</w:t>
      </w:r>
      <w:r w:rsidRPr="006815E7">
        <w:rPr>
          <w:lang w:eastAsia="zh-CN"/>
        </w:rPr>
        <w:t>.</w:t>
      </w:r>
      <w:r>
        <w:rPr>
          <w:lang w:eastAsia="zh-CN"/>
        </w:rPr>
        <w:t xml:space="preserve"> Thus, the BWP ID (DL/UL) </w:t>
      </w:r>
      <w:r w:rsidR="00C11663">
        <w:rPr>
          <w:lang w:eastAsia="zh-CN"/>
        </w:rPr>
        <w:t>for a TCI state</w:t>
      </w:r>
      <w:r>
        <w:rPr>
          <w:lang w:eastAsia="zh-CN"/>
        </w:rPr>
        <w:t xml:space="preserve"> should be given </w:t>
      </w:r>
      <w:r w:rsidR="00C11663">
        <w:rPr>
          <w:lang w:eastAsia="zh-CN"/>
        </w:rPr>
        <w:t>to the UE. One solution is to follow the existing approach of providing the BWP ID information</w:t>
      </w:r>
      <w:r>
        <w:rPr>
          <w:lang w:eastAsia="zh-CN"/>
        </w:rPr>
        <w:t xml:space="preserve"> in the activation/deactivation command. </w:t>
      </w:r>
    </w:p>
    <w:p w14:paraId="2E70B451" w14:textId="2A8B1EAB" w:rsidR="00E66770" w:rsidRDefault="00E66770" w:rsidP="00E66770">
      <w:pPr>
        <w:jc w:val="both"/>
        <w:rPr>
          <w:b/>
          <w:bCs/>
          <w:lang w:eastAsia="zh-CN"/>
        </w:rPr>
      </w:pPr>
      <w:r w:rsidRPr="006815E7">
        <w:rPr>
          <w:b/>
          <w:bCs/>
          <w:lang w:eastAsia="zh-CN"/>
        </w:rPr>
        <w:t>Proposal</w:t>
      </w:r>
      <w:r w:rsidR="5F8D0805" w:rsidRPr="67A2C7C6">
        <w:rPr>
          <w:b/>
          <w:bCs/>
          <w:lang w:eastAsia="zh-CN"/>
        </w:rPr>
        <w:t xml:space="preserve"> 9</w:t>
      </w:r>
      <w:r w:rsidRPr="006815E7">
        <w:rPr>
          <w:b/>
          <w:bCs/>
          <w:lang w:eastAsia="zh-CN"/>
        </w:rPr>
        <w:t>:</w:t>
      </w:r>
      <w:r>
        <w:rPr>
          <w:lang w:eastAsia="zh-CN"/>
        </w:rPr>
        <w:t xml:space="preserve"> </w:t>
      </w:r>
      <w:r w:rsidRPr="006944DA">
        <w:rPr>
          <w:b/>
          <w:bCs/>
          <w:lang w:eastAsia="zh-CN"/>
        </w:rPr>
        <w:t>C</w:t>
      </w:r>
      <w:r>
        <w:rPr>
          <w:b/>
          <w:bCs/>
          <w:lang w:eastAsia="zh-CN"/>
        </w:rPr>
        <w:t xml:space="preserve">andidate cell TCI state activation/deactivation command provides BWP information (DL/UL) for the activated TCI states. </w:t>
      </w:r>
    </w:p>
    <w:p w14:paraId="34C265D6" w14:textId="67E809E9" w:rsidR="00E66770" w:rsidRPr="006944DA" w:rsidRDefault="00E66770" w:rsidP="00E66770">
      <w:pPr>
        <w:jc w:val="both"/>
        <w:rPr>
          <w:lang w:eastAsia="zh-CN"/>
        </w:rPr>
      </w:pPr>
      <w:r>
        <w:rPr>
          <w:lang w:eastAsia="zh-CN"/>
        </w:rPr>
        <w:t xml:space="preserve">If, </w:t>
      </w:r>
      <w:r w:rsidRPr="006944DA">
        <w:rPr>
          <w:lang w:eastAsia="zh-CN"/>
        </w:rPr>
        <w:t>the BWP information is not given in the activation/deactivation command</w:t>
      </w:r>
      <w:r>
        <w:rPr>
          <w:lang w:eastAsia="zh-CN"/>
        </w:rPr>
        <w:t xml:space="preserve">, the UE </w:t>
      </w:r>
      <w:proofErr w:type="gramStart"/>
      <w:r>
        <w:rPr>
          <w:lang w:eastAsia="zh-CN"/>
        </w:rPr>
        <w:t>has to</w:t>
      </w:r>
      <w:proofErr w:type="gramEnd"/>
      <w:r>
        <w:rPr>
          <w:lang w:eastAsia="zh-CN"/>
        </w:rPr>
        <w:t xml:space="preserve"> assume the BWP for </w:t>
      </w:r>
      <w:r w:rsidR="00C11663">
        <w:rPr>
          <w:lang w:eastAsia="zh-CN"/>
        </w:rPr>
        <w:t>a given</w:t>
      </w:r>
      <w:r>
        <w:rPr>
          <w:lang w:eastAsia="zh-CN"/>
        </w:rPr>
        <w:t xml:space="preserve"> TCI state implicitly</w:t>
      </w:r>
      <w:r w:rsidR="00C11663">
        <w:rPr>
          <w:lang w:eastAsia="zh-CN"/>
        </w:rPr>
        <w:t>,</w:t>
      </w:r>
      <w:r>
        <w:rPr>
          <w:lang w:eastAsia="zh-CN"/>
        </w:rPr>
        <w:t xml:space="preserve"> i.e.</w:t>
      </w:r>
      <w:r w:rsidR="00C11663">
        <w:rPr>
          <w:lang w:eastAsia="zh-CN"/>
        </w:rPr>
        <w:t>,</w:t>
      </w:r>
      <w:r>
        <w:rPr>
          <w:lang w:eastAsia="zh-CN"/>
        </w:rPr>
        <w:t xml:space="preserve"> assume that the activation is for the BWP indicated as first active in the candidate cell RRC configuration.</w:t>
      </w:r>
    </w:p>
    <w:p w14:paraId="20C9977D" w14:textId="4382CBEE" w:rsidR="00E66770" w:rsidRDefault="00E66770" w:rsidP="00C91C6F">
      <w:pPr>
        <w:spacing w:line="259" w:lineRule="auto"/>
        <w:jc w:val="both"/>
        <w:rPr>
          <w:b/>
          <w:bCs/>
          <w:lang w:eastAsia="zh-CN"/>
        </w:rPr>
      </w:pPr>
      <w:r>
        <w:rPr>
          <w:b/>
          <w:bCs/>
          <w:lang w:eastAsia="zh-CN"/>
        </w:rPr>
        <w:lastRenderedPageBreak/>
        <w:t>Proposal</w:t>
      </w:r>
      <w:r w:rsidR="1D501E2F" w:rsidRPr="60412510">
        <w:rPr>
          <w:b/>
          <w:bCs/>
          <w:lang w:eastAsia="zh-CN"/>
        </w:rPr>
        <w:t xml:space="preserve"> 10</w:t>
      </w:r>
      <w:r>
        <w:rPr>
          <w:b/>
          <w:bCs/>
          <w:lang w:eastAsia="zh-CN"/>
        </w:rPr>
        <w:t>: If the UE is not provided the BWP information in the Candidate Cell TCI state activation/deactivation message, it determines the BWP for the activated TCI states to be the BWP (DL/UL) indicated by the candidate cell RRC configuration.</w:t>
      </w:r>
    </w:p>
    <w:p w14:paraId="69B7B8E6" w14:textId="69E07FC9" w:rsidR="009339CB" w:rsidRPr="006E13D1" w:rsidRDefault="005A13AB" w:rsidP="009339CB">
      <w:pPr>
        <w:pStyle w:val="Heading1"/>
      </w:pPr>
      <w:r>
        <w:t>3</w:t>
      </w:r>
      <w:r w:rsidR="009339CB" w:rsidRPr="006E13D1">
        <w:tab/>
      </w:r>
      <w:r w:rsidR="009339CB">
        <w:t>Conclusion</w:t>
      </w:r>
    </w:p>
    <w:p w14:paraId="6E24B0F4" w14:textId="552EF491" w:rsidR="009339CB" w:rsidRPr="006E13D1" w:rsidRDefault="009339CB" w:rsidP="009339CB">
      <w:r>
        <w:t>This document has made the following observations:</w:t>
      </w:r>
    </w:p>
    <w:p w14:paraId="17C2211F" w14:textId="23BB57F2" w:rsidR="009339CB" w:rsidRDefault="14DF7F10" w:rsidP="00C91C6F">
      <w:pPr>
        <w:spacing w:after="120" w:line="259" w:lineRule="auto"/>
        <w:jc w:val="both"/>
        <w:rPr>
          <w:b/>
          <w:bCs/>
          <w:lang w:val="en-US"/>
        </w:rPr>
      </w:pPr>
      <w:r w:rsidRPr="37C10B6A">
        <w:rPr>
          <w:b/>
          <w:bCs/>
          <w:lang w:val="en-US"/>
        </w:rPr>
        <w:t xml:space="preserve">Observation 1: The TA may become invalid between the reception of the TA value in the MAC CE to trigger cell change and the first UL transmission. </w:t>
      </w:r>
    </w:p>
    <w:p w14:paraId="6FFB1EF3" w14:textId="1169CBA2" w:rsidR="14DF7F10" w:rsidRDefault="14DF7F10" w:rsidP="00C91C6F">
      <w:pPr>
        <w:spacing w:after="120"/>
        <w:jc w:val="both"/>
        <w:rPr>
          <w:b/>
          <w:bCs/>
          <w:lang w:val="en-US"/>
        </w:rPr>
      </w:pPr>
      <w:r w:rsidRPr="37C10B6A">
        <w:rPr>
          <w:b/>
          <w:bCs/>
          <w:lang w:val="en-US"/>
        </w:rPr>
        <w:t>Observation 2: A mechanism is needed for the UE to ensure that the TA is valid from the time of the reception of the MAC CE to trigger the cell change till the time of the cell switch (first UL transmission).</w:t>
      </w:r>
    </w:p>
    <w:p w14:paraId="10BD8997" w14:textId="0DF957CB" w:rsidR="5AEF774C" w:rsidRDefault="5AEF774C" w:rsidP="00C91C6F">
      <w:pPr>
        <w:spacing w:after="120" w:line="259" w:lineRule="auto"/>
        <w:jc w:val="both"/>
        <w:rPr>
          <w:b/>
          <w:bCs/>
          <w:lang w:val="en-US"/>
        </w:rPr>
      </w:pPr>
      <w:r w:rsidRPr="10CC509C">
        <w:rPr>
          <w:b/>
          <w:bCs/>
          <w:lang w:val="en-US"/>
        </w:rPr>
        <w:t>Observation 3: It is possible that TA alignment timer will expire before the T304 expiration.</w:t>
      </w:r>
    </w:p>
    <w:p w14:paraId="7AA97BF7" w14:textId="2D98CEF8" w:rsidR="5AEF774C" w:rsidRDefault="5AEF774C" w:rsidP="00C91C6F">
      <w:pPr>
        <w:spacing w:after="120" w:line="259" w:lineRule="auto"/>
        <w:jc w:val="both"/>
        <w:rPr>
          <w:b/>
          <w:bCs/>
          <w:lang w:val="en-US"/>
        </w:rPr>
      </w:pPr>
      <w:r w:rsidRPr="10CC509C">
        <w:rPr>
          <w:b/>
          <w:bCs/>
          <w:lang w:val="en-US"/>
        </w:rPr>
        <w:t xml:space="preserve">Observation 4: If TAT expires before the T304 the UE </w:t>
      </w:r>
      <w:proofErr w:type="gramStart"/>
      <w:r w:rsidRPr="10CC509C">
        <w:rPr>
          <w:b/>
          <w:bCs/>
          <w:lang w:val="en-US"/>
        </w:rPr>
        <w:t>has to</w:t>
      </w:r>
      <w:proofErr w:type="gramEnd"/>
      <w:r w:rsidRPr="10CC509C">
        <w:rPr>
          <w:b/>
          <w:bCs/>
          <w:lang w:val="en-US"/>
        </w:rPr>
        <w:t xml:space="preserve"> wait till T304 will expire as well in order to act.</w:t>
      </w:r>
    </w:p>
    <w:p w14:paraId="24F121DC" w14:textId="3875B539" w:rsidR="2B632DED" w:rsidRDefault="2B632DED" w:rsidP="00C91C6F">
      <w:pPr>
        <w:spacing w:after="120"/>
        <w:jc w:val="both"/>
        <w:rPr>
          <w:lang w:val="en-US"/>
        </w:rPr>
      </w:pPr>
      <w:r w:rsidRPr="1C2AF7C4">
        <w:rPr>
          <w:b/>
          <w:bCs/>
        </w:rPr>
        <w:t xml:space="preserve">Observation 5: </w:t>
      </w:r>
      <w:r w:rsidRPr="1C2AF7C4">
        <w:rPr>
          <w:b/>
          <w:bCs/>
          <w:lang w:val="en-US"/>
        </w:rPr>
        <w:t>Keep the UE tracking the timing of the TCI states of candidate cells which will not be selected as the target cell may cause the UE unnecessarily monitor TCI states that are no longer relevant for cell switch purposes</w:t>
      </w:r>
      <w:r w:rsidRPr="1C2AF7C4">
        <w:rPr>
          <w:lang w:val="en-US"/>
        </w:rPr>
        <w:t>.</w:t>
      </w:r>
    </w:p>
    <w:p w14:paraId="6D2B7225" w14:textId="29A380DD" w:rsidR="2B632DED" w:rsidRDefault="215F2B49" w:rsidP="00C91C6F">
      <w:pPr>
        <w:spacing w:after="120"/>
        <w:jc w:val="both"/>
        <w:rPr>
          <w:b/>
          <w:lang w:eastAsia="zh-CN"/>
        </w:rPr>
      </w:pPr>
      <w:r w:rsidRPr="2B6AE1AE">
        <w:rPr>
          <w:b/>
          <w:bCs/>
          <w:lang w:eastAsia="zh-CN"/>
        </w:rPr>
        <w:t>Observation 6: Candidate cell TCI state activation/deactivation command does not include BWP information for which the TCI States are activated. Also, cell switch command does not include any BWP ID information.</w:t>
      </w:r>
    </w:p>
    <w:p w14:paraId="3BE72BE2" w14:textId="77777777" w:rsidR="009339CB" w:rsidRPr="00C91C6F" w:rsidRDefault="009339CB" w:rsidP="00C91C6F">
      <w:pPr>
        <w:spacing w:line="259" w:lineRule="auto"/>
      </w:pPr>
      <w:r w:rsidRPr="00C91C6F">
        <w:t>And proposed the following:</w:t>
      </w:r>
    </w:p>
    <w:p w14:paraId="687A0DF6" w14:textId="4313967C" w:rsidR="009339CB" w:rsidRDefault="56497821" w:rsidP="00C91C6F">
      <w:pPr>
        <w:spacing w:after="120" w:line="259" w:lineRule="auto"/>
        <w:jc w:val="both"/>
        <w:rPr>
          <w:b/>
          <w:bCs/>
          <w:lang w:val="en-US"/>
        </w:rPr>
      </w:pPr>
      <w:r w:rsidRPr="10CC509C">
        <w:rPr>
          <w:b/>
          <w:bCs/>
          <w:lang w:val="en-US"/>
        </w:rPr>
        <w:t>Proposal 1: RAN2 should discuss on how the TA validity is maintained during the cell switch. I</w:t>
      </w:r>
    </w:p>
    <w:p w14:paraId="5DF02DE1" w14:textId="58A68B64" w:rsidR="56497821" w:rsidRDefault="56497821" w:rsidP="00C91C6F">
      <w:pPr>
        <w:spacing w:after="120"/>
        <w:jc w:val="both"/>
        <w:rPr>
          <w:b/>
          <w:bCs/>
          <w:lang w:val="en-US"/>
        </w:rPr>
      </w:pPr>
      <w:r w:rsidRPr="10CC509C">
        <w:rPr>
          <w:b/>
          <w:bCs/>
          <w:lang w:val="en-US"/>
        </w:rPr>
        <w:t>Proposal 2: The UE can start a timer to maintain the validity of TA at the time of the reception of the TA value with the MAC CE triggering cell switch.</w:t>
      </w:r>
    </w:p>
    <w:p w14:paraId="2F465750" w14:textId="03C4751D" w:rsidR="0BB1874B" w:rsidRDefault="0BB1874B" w:rsidP="00C91C6F">
      <w:pPr>
        <w:spacing w:after="120" w:line="259" w:lineRule="auto"/>
        <w:jc w:val="both"/>
        <w:rPr>
          <w:b/>
          <w:bCs/>
        </w:rPr>
      </w:pPr>
      <w:r w:rsidRPr="10CC509C">
        <w:rPr>
          <w:b/>
          <w:bCs/>
        </w:rPr>
        <w:t>Proposal 3: RAN2 should discuss on the above options and decide which is the preferred way to be followed.</w:t>
      </w:r>
    </w:p>
    <w:p w14:paraId="24B39032" w14:textId="30381BAE" w:rsidR="0BB1874B" w:rsidRDefault="0BB1874B" w:rsidP="00C91C6F">
      <w:pPr>
        <w:spacing w:after="120"/>
        <w:jc w:val="both"/>
        <w:rPr>
          <w:b/>
          <w:bCs/>
        </w:rPr>
      </w:pPr>
      <w:r w:rsidRPr="10CC509C">
        <w:rPr>
          <w:b/>
          <w:bCs/>
        </w:rPr>
        <w:t xml:space="preserve">Proposal 4: The UE should be configured with a timer or a counter of PDCCH occasions to guard the time to access the target cell using LTM RACH-less access. This configuration can be part of the RRC; the details of this can be FFS. </w:t>
      </w:r>
    </w:p>
    <w:p w14:paraId="27B35114" w14:textId="0130A700" w:rsidR="0BB1874B" w:rsidRDefault="0BB1874B" w:rsidP="00C91C6F">
      <w:pPr>
        <w:spacing w:after="120" w:line="259" w:lineRule="auto"/>
        <w:jc w:val="both"/>
        <w:rPr>
          <w:b/>
          <w:bCs/>
        </w:rPr>
      </w:pPr>
      <w:r w:rsidRPr="10CC509C">
        <w:rPr>
          <w:b/>
          <w:bCs/>
        </w:rPr>
        <w:t>Proposal 5: The UE should perform RACH based access to the target cell, once the conditions to guard the cell change process for the reception of the UL grant expires.</w:t>
      </w:r>
    </w:p>
    <w:p w14:paraId="4E72F432" w14:textId="437BCFD4" w:rsidR="58BFE8C2" w:rsidRDefault="58BFE8C2" w:rsidP="00C91C6F">
      <w:pPr>
        <w:spacing w:after="120" w:line="259" w:lineRule="auto"/>
        <w:jc w:val="both"/>
        <w:rPr>
          <w:b/>
          <w:bCs/>
          <w:lang w:val="en-US"/>
        </w:rPr>
      </w:pPr>
      <w:r w:rsidRPr="1212B885">
        <w:rPr>
          <w:b/>
          <w:bCs/>
        </w:rPr>
        <w:t xml:space="preserve">Proposal 6: T304 timer starts at LTM execution i.e., upon applying the stored </w:t>
      </w:r>
      <w:proofErr w:type="spellStart"/>
      <w:r w:rsidRPr="1212B885">
        <w:rPr>
          <w:b/>
          <w:bCs/>
        </w:rPr>
        <w:t>RRCReconfiguration</w:t>
      </w:r>
      <w:proofErr w:type="spellEnd"/>
      <w:r w:rsidRPr="1212B885">
        <w:rPr>
          <w:b/>
          <w:bCs/>
        </w:rPr>
        <w:t xml:space="preserve"> message.</w:t>
      </w:r>
    </w:p>
    <w:p w14:paraId="09D745BE" w14:textId="06BBBFAF" w:rsidR="58BFE8C2" w:rsidRDefault="58BFE8C2" w:rsidP="00C91C6F">
      <w:pPr>
        <w:spacing w:after="120"/>
        <w:jc w:val="both"/>
        <w:rPr>
          <w:b/>
          <w:bCs/>
          <w:lang w:val="en-US"/>
        </w:rPr>
      </w:pPr>
      <w:r w:rsidRPr="181728D5">
        <w:rPr>
          <w:b/>
          <w:bCs/>
          <w:lang w:val="en-US"/>
        </w:rPr>
        <w:t>Proposal 7: Activation of one or more TCI states for multiple candidate cells should be allowed with the same MAC-CE activation command.</w:t>
      </w:r>
    </w:p>
    <w:p w14:paraId="7FC4FE46" w14:textId="5F65F8CD" w:rsidR="009339CB" w:rsidRPr="006E13D1" w:rsidRDefault="2F1E9987" w:rsidP="00C91C6F">
      <w:pPr>
        <w:spacing w:after="120"/>
        <w:jc w:val="both"/>
        <w:rPr>
          <w:b/>
          <w:bCs/>
        </w:rPr>
      </w:pPr>
      <w:r w:rsidRPr="1C2AF7C4">
        <w:rPr>
          <w:b/>
          <w:bCs/>
        </w:rPr>
        <w:t xml:space="preserve">Proposal 8: Support of deactivation of LTM TCI states for a certain candidate cell </w:t>
      </w:r>
      <w:r>
        <w:t>(or set of candidate cells)</w:t>
      </w:r>
      <w:r w:rsidRPr="1C2AF7C4">
        <w:rPr>
          <w:b/>
          <w:bCs/>
        </w:rPr>
        <w:t xml:space="preserve"> using:</w:t>
      </w:r>
    </w:p>
    <w:p w14:paraId="22F38681" w14:textId="5177F829" w:rsidR="009339CB" w:rsidRPr="006E13D1" w:rsidRDefault="2F1E9987" w:rsidP="00C91C6F">
      <w:pPr>
        <w:numPr>
          <w:ilvl w:val="0"/>
          <w:numId w:val="28"/>
        </w:numPr>
        <w:spacing w:after="120"/>
        <w:jc w:val="both"/>
        <w:rPr>
          <w:b/>
          <w:bCs/>
        </w:rPr>
      </w:pPr>
      <w:r w:rsidRPr="1C2AF7C4">
        <w:rPr>
          <w:b/>
          <w:bCs/>
        </w:rPr>
        <w:t xml:space="preserve">Alternative 1: Timer-based approach, i.e., a </w:t>
      </w:r>
      <w:r w:rsidR="001A1903" w:rsidRPr="1C2AF7C4">
        <w:rPr>
          <w:b/>
          <w:bCs/>
        </w:rPr>
        <w:t>timer can</w:t>
      </w:r>
      <w:r w:rsidRPr="1C2AF7C4">
        <w:rPr>
          <w:b/>
          <w:bCs/>
        </w:rPr>
        <w:t xml:space="preserve"> be configured for the supervision of already activated TCI states.</w:t>
      </w:r>
    </w:p>
    <w:p w14:paraId="25F5952A" w14:textId="0D41511F" w:rsidR="009339CB" w:rsidRPr="006E13D1" w:rsidRDefault="2F1E9987" w:rsidP="00C91C6F">
      <w:pPr>
        <w:numPr>
          <w:ilvl w:val="0"/>
          <w:numId w:val="28"/>
        </w:numPr>
        <w:spacing w:after="120"/>
        <w:jc w:val="both"/>
        <w:rPr>
          <w:b/>
          <w:bCs/>
        </w:rPr>
      </w:pPr>
      <w:r w:rsidRPr="1C2AF7C4">
        <w:rPr>
          <w:b/>
          <w:bCs/>
        </w:rPr>
        <w:t>Alternative 2: Signalling approach to deactivate TCI states of a candidate cell (or set of candidate cells).</w:t>
      </w:r>
    </w:p>
    <w:p w14:paraId="315842F0" w14:textId="10E70AFE" w:rsidR="009339CB" w:rsidRPr="006E13D1" w:rsidRDefault="29F55037" w:rsidP="00C91C6F">
      <w:pPr>
        <w:spacing w:after="120"/>
        <w:jc w:val="both"/>
        <w:rPr>
          <w:b/>
          <w:bCs/>
          <w:lang w:eastAsia="zh-CN"/>
        </w:rPr>
      </w:pPr>
      <w:r w:rsidRPr="2C6EE359">
        <w:rPr>
          <w:b/>
          <w:bCs/>
          <w:lang w:eastAsia="zh-CN"/>
        </w:rPr>
        <w:t>Proposal 9:</w:t>
      </w:r>
      <w:r w:rsidRPr="2C6EE359">
        <w:rPr>
          <w:lang w:eastAsia="zh-CN"/>
        </w:rPr>
        <w:t xml:space="preserve"> </w:t>
      </w:r>
      <w:r w:rsidRPr="2C6EE359">
        <w:rPr>
          <w:b/>
          <w:bCs/>
          <w:lang w:eastAsia="zh-CN"/>
        </w:rPr>
        <w:t xml:space="preserve">Candidate cell TCI state activation/deactivation command provides BWP information (DL/UL) for the activated TCI states. </w:t>
      </w:r>
    </w:p>
    <w:p w14:paraId="66F81562" w14:textId="6719DC6C" w:rsidR="009339CB" w:rsidRPr="006E13D1" w:rsidRDefault="29F55037" w:rsidP="00C91C6F">
      <w:pPr>
        <w:spacing w:after="120"/>
        <w:jc w:val="both"/>
        <w:rPr>
          <w:b/>
          <w:bCs/>
          <w:lang w:eastAsia="zh-CN"/>
        </w:rPr>
      </w:pPr>
      <w:r w:rsidRPr="2C6EE359">
        <w:rPr>
          <w:b/>
          <w:bCs/>
          <w:lang w:eastAsia="zh-CN"/>
        </w:rPr>
        <w:t>Proposal 10: If the UE is not provided the BWP information in the Candidate Cell TCI state activation/deactivation message, it determines the BWP for the activated TCI states to be the BWP (DL/UL) indicated by the candidate cell RRC configuration.</w:t>
      </w:r>
    </w:p>
    <w:p w14:paraId="401A2204" w14:textId="792C311B" w:rsidR="00625A1E" w:rsidRDefault="00625A1E" w:rsidP="00625A1E">
      <w:pPr>
        <w:pStyle w:val="Heading1"/>
      </w:pPr>
      <w:r>
        <w:t>4</w:t>
      </w:r>
      <w:r w:rsidRPr="006E13D1">
        <w:tab/>
      </w:r>
      <w:r>
        <w:t>References</w:t>
      </w:r>
    </w:p>
    <w:p w14:paraId="1D4E3071" w14:textId="274971F4" w:rsidR="00BB4C90" w:rsidRPr="00053220" w:rsidRDefault="00782F10" w:rsidP="00C11663">
      <w:pPr>
        <w:pStyle w:val="ListParagraph"/>
        <w:numPr>
          <w:ilvl w:val="0"/>
          <w:numId w:val="32"/>
        </w:numPr>
        <w:shd w:val="clear" w:color="auto" w:fill="auto"/>
        <w:spacing w:after="0"/>
        <w:jc w:val="both"/>
        <w:rPr>
          <w:rFonts w:ascii="Times New Roman" w:hAnsi="Times New Roman" w:cs="Times New Roman"/>
          <w:sz w:val="20"/>
        </w:rPr>
      </w:pPr>
      <w:r w:rsidRPr="00053220">
        <w:rPr>
          <w:rFonts w:ascii="Times New Roman" w:eastAsiaTheme="minorEastAsia" w:hAnsi="Times New Roman" w:cs="Times New Roman"/>
          <w:sz w:val="20"/>
        </w:rPr>
        <w:t>R2#123 Chairman Notes, R2_123_ChairNotes_EOM</w:t>
      </w:r>
    </w:p>
    <w:p w14:paraId="35F222F4" w14:textId="41C49AA2" w:rsidR="00080512" w:rsidRPr="00053220" w:rsidRDefault="00C11663" w:rsidP="00CF647C">
      <w:pPr>
        <w:pStyle w:val="ListParagraph"/>
        <w:numPr>
          <w:ilvl w:val="0"/>
          <w:numId w:val="32"/>
        </w:numPr>
        <w:shd w:val="clear" w:color="auto" w:fill="auto"/>
        <w:spacing w:after="0"/>
        <w:jc w:val="both"/>
        <w:rPr>
          <w:rFonts w:ascii="Times New Roman" w:hAnsi="Times New Roman" w:cs="Times New Roman"/>
          <w:sz w:val="20"/>
        </w:rPr>
      </w:pPr>
      <w:r w:rsidRPr="00053220">
        <w:rPr>
          <w:rFonts w:ascii="Times New Roman" w:hAnsi="Times New Roman" w:cs="Times New Roman"/>
          <w:sz w:val="20"/>
        </w:rPr>
        <w:t>R2-2309281, 38.321 running CR for introduction of NR further mobility enhancements, 3GPP TSG RAN WG2 Meeting #123, August 21 – 25, 2023</w:t>
      </w:r>
    </w:p>
    <w:sectPr w:rsidR="00080512" w:rsidRPr="00053220">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C4143B" w14:textId="77777777" w:rsidR="00AD4C0C" w:rsidRDefault="00AD4C0C">
      <w:r>
        <w:separator/>
      </w:r>
    </w:p>
  </w:endnote>
  <w:endnote w:type="continuationSeparator" w:id="0">
    <w:p w14:paraId="663B4CFF" w14:textId="77777777" w:rsidR="00AD4C0C" w:rsidRDefault="00AD4C0C">
      <w:r>
        <w:continuationSeparator/>
      </w:r>
    </w:p>
  </w:endnote>
  <w:endnote w:type="continuationNotice" w:id="1">
    <w:p w14:paraId="53123AD5" w14:textId="77777777" w:rsidR="00AD4C0C" w:rsidRDefault="00AD4C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Yu Gothic"/>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120697" w14:textId="77777777" w:rsidR="00AD4C0C" w:rsidRDefault="00AD4C0C">
      <w:r>
        <w:separator/>
      </w:r>
    </w:p>
  </w:footnote>
  <w:footnote w:type="continuationSeparator" w:id="0">
    <w:p w14:paraId="40F80F21" w14:textId="77777777" w:rsidR="00AD4C0C" w:rsidRDefault="00AD4C0C">
      <w:r>
        <w:continuationSeparator/>
      </w:r>
    </w:p>
  </w:footnote>
  <w:footnote w:type="continuationNotice" w:id="1">
    <w:p w14:paraId="6D4B4949" w14:textId="77777777" w:rsidR="00AD4C0C" w:rsidRDefault="00AD4C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7B6D45"/>
    <w:multiLevelType w:val="multilevel"/>
    <w:tmpl w:val="9BCEC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D048D5"/>
    <w:multiLevelType w:val="hybridMultilevel"/>
    <w:tmpl w:val="C6DA540C"/>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15:restartNumberingAfterBreak="0">
    <w:nsid w:val="06E414B6"/>
    <w:multiLevelType w:val="hybridMultilevel"/>
    <w:tmpl w:val="EA4AC90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E3965BA"/>
    <w:multiLevelType w:val="hybridMultilevel"/>
    <w:tmpl w:val="FF5ABAFC"/>
    <w:lvl w:ilvl="0" w:tplc="ED4298CC">
      <w:start w:val="1"/>
      <w:numFmt w:val="decimal"/>
      <w:pStyle w:val="ListParagraph"/>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378045B"/>
    <w:multiLevelType w:val="hybridMultilevel"/>
    <w:tmpl w:val="8B908A12"/>
    <w:lvl w:ilvl="0" w:tplc="348651F2">
      <w:start w:val="1"/>
      <w:numFmt w:val="bullet"/>
      <w:lvlText w:val="•"/>
      <w:lvlJc w:val="left"/>
      <w:pPr>
        <w:tabs>
          <w:tab w:val="num" w:pos="720"/>
        </w:tabs>
        <w:ind w:left="720" w:hanging="360"/>
      </w:pPr>
      <w:rPr>
        <w:rFonts w:ascii="Arial" w:hAnsi="Arial" w:hint="default"/>
      </w:rPr>
    </w:lvl>
    <w:lvl w:ilvl="1" w:tplc="3490FE12" w:tentative="1">
      <w:start w:val="1"/>
      <w:numFmt w:val="bullet"/>
      <w:lvlText w:val="•"/>
      <w:lvlJc w:val="left"/>
      <w:pPr>
        <w:tabs>
          <w:tab w:val="num" w:pos="1440"/>
        </w:tabs>
        <w:ind w:left="1440" w:hanging="360"/>
      </w:pPr>
      <w:rPr>
        <w:rFonts w:ascii="Arial" w:hAnsi="Arial" w:hint="default"/>
      </w:rPr>
    </w:lvl>
    <w:lvl w:ilvl="2" w:tplc="A8B83054" w:tentative="1">
      <w:start w:val="1"/>
      <w:numFmt w:val="bullet"/>
      <w:lvlText w:val="•"/>
      <w:lvlJc w:val="left"/>
      <w:pPr>
        <w:tabs>
          <w:tab w:val="num" w:pos="2160"/>
        </w:tabs>
        <w:ind w:left="2160" w:hanging="360"/>
      </w:pPr>
      <w:rPr>
        <w:rFonts w:ascii="Arial" w:hAnsi="Arial" w:hint="default"/>
      </w:rPr>
    </w:lvl>
    <w:lvl w:ilvl="3" w:tplc="7B1C5320" w:tentative="1">
      <w:start w:val="1"/>
      <w:numFmt w:val="bullet"/>
      <w:lvlText w:val="•"/>
      <w:lvlJc w:val="left"/>
      <w:pPr>
        <w:tabs>
          <w:tab w:val="num" w:pos="2880"/>
        </w:tabs>
        <w:ind w:left="2880" w:hanging="360"/>
      </w:pPr>
      <w:rPr>
        <w:rFonts w:ascii="Arial" w:hAnsi="Arial" w:hint="default"/>
      </w:rPr>
    </w:lvl>
    <w:lvl w:ilvl="4" w:tplc="6E24ED52" w:tentative="1">
      <w:start w:val="1"/>
      <w:numFmt w:val="bullet"/>
      <w:lvlText w:val="•"/>
      <w:lvlJc w:val="left"/>
      <w:pPr>
        <w:tabs>
          <w:tab w:val="num" w:pos="3600"/>
        </w:tabs>
        <w:ind w:left="3600" w:hanging="360"/>
      </w:pPr>
      <w:rPr>
        <w:rFonts w:ascii="Arial" w:hAnsi="Arial" w:hint="default"/>
      </w:rPr>
    </w:lvl>
    <w:lvl w:ilvl="5" w:tplc="1B0C21B6" w:tentative="1">
      <w:start w:val="1"/>
      <w:numFmt w:val="bullet"/>
      <w:lvlText w:val="•"/>
      <w:lvlJc w:val="left"/>
      <w:pPr>
        <w:tabs>
          <w:tab w:val="num" w:pos="4320"/>
        </w:tabs>
        <w:ind w:left="4320" w:hanging="360"/>
      </w:pPr>
      <w:rPr>
        <w:rFonts w:ascii="Arial" w:hAnsi="Arial" w:hint="default"/>
      </w:rPr>
    </w:lvl>
    <w:lvl w:ilvl="6" w:tplc="CDA4CBFA" w:tentative="1">
      <w:start w:val="1"/>
      <w:numFmt w:val="bullet"/>
      <w:lvlText w:val="•"/>
      <w:lvlJc w:val="left"/>
      <w:pPr>
        <w:tabs>
          <w:tab w:val="num" w:pos="5040"/>
        </w:tabs>
        <w:ind w:left="5040" w:hanging="360"/>
      </w:pPr>
      <w:rPr>
        <w:rFonts w:ascii="Arial" w:hAnsi="Arial" w:hint="default"/>
      </w:rPr>
    </w:lvl>
    <w:lvl w:ilvl="7" w:tplc="E25A443E" w:tentative="1">
      <w:start w:val="1"/>
      <w:numFmt w:val="bullet"/>
      <w:lvlText w:val="•"/>
      <w:lvlJc w:val="left"/>
      <w:pPr>
        <w:tabs>
          <w:tab w:val="num" w:pos="5760"/>
        </w:tabs>
        <w:ind w:left="5760" w:hanging="360"/>
      </w:pPr>
      <w:rPr>
        <w:rFonts w:ascii="Arial" w:hAnsi="Arial" w:hint="default"/>
      </w:rPr>
    </w:lvl>
    <w:lvl w:ilvl="8" w:tplc="5636E14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595D64B"/>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8A739FD"/>
    <w:multiLevelType w:val="hybridMultilevel"/>
    <w:tmpl w:val="CCCE719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B9069B6"/>
    <w:multiLevelType w:val="hybridMultilevel"/>
    <w:tmpl w:val="8124C81E"/>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331975E9"/>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6995A29"/>
    <w:multiLevelType w:val="hybridMultilevel"/>
    <w:tmpl w:val="4EF2246E"/>
    <w:lvl w:ilvl="0" w:tplc="EE56085C">
      <w:start w:val="1"/>
      <w:numFmt w:val="bullet"/>
      <w:lvlText w:val="•"/>
      <w:lvlJc w:val="left"/>
      <w:pPr>
        <w:tabs>
          <w:tab w:val="num" w:pos="720"/>
        </w:tabs>
        <w:ind w:left="720" w:hanging="360"/>
      </w:pPr>
      <w:rPr>
        <w:rFonts w:ascii="Arial" w:hAnsi="Arial" w:hint="default"/>
      </w:rPr>
    </w:lvl>
    <w:lvl w:ilvl="1" w:tplc="FB70A0AE" w:tentative="1">
      <w:start w:val="1"/>
      <w:numFmt w:val="bullet"/>
      <w:lvlText w:val="•"/>
      <w:lvlJc w:val="left"/>
      <w:pPr>
        <w:tabs>
          <w:tab w:val="num" w:pos="1440"/>
        </w:tabs>
        <w:ind w:left="1440" w:hanging="360"/>
      </w:pPr>
      <w:rPr>
        <w:rFonts w:ascii="Arial" w:hAnsi="Arial" w:hint="default"/>
      </w:rPr>
    </w:lvl>
    <w:lvl w:ilvl="2" w:tplc="B36E3294" w:tentative="1">
      <w:start w:val="1"/>
      <w:numFmt w:val="bullet"/>
      <w:lvlText w:val="•"/>
      <w:lvlJc w:val="left"/>
      <w:pPr>
        <w:tabs>
          <w:tab w:val="num" w:pos="2160"/>
        </w:tabs>
        <w:ind w:left="2160" w:hanging="360"/>
      </w:pPr>
      <w:rPr>
        <w:rFonts w:ascii="Arial" w:hAnsi="Arial" w:hint="default"/>
      </w:rPr>
    </w:lvl>
    <w:lvl w:ilvl="3" w:tplc="A99C6D82" w:tentative="1">
      <w:start w:val="1"/>
      <w:numFmt w:val="bullet"/>
      <w:lvlText w:val="•"/>
      <w:lvlJc w:val="left"/>
      <w:pPr>
        <w:tabs>
          <w:tab w:val="num" w:pos="2880"/>
        </w:tabs>
        <w:ind w:left="2880" w:hanging="360"/>
      </w:pPr>
      <w:rPr>
        <w:rFonts w:ascii="Arial" w:hAnsi="Arial" w:hint="default"/>
      </w:rPr>
    </w:lvl>
    <w:lvl w:ilvl="4" w:tplc="87506A5C" w:tentative="1">
      <w:start w:val="1"/>
      <w:numFmt w:val="bullet"/>
      <w:lvlText w:val="•"/>
      <w:lvlJc w:val="left"/>
      <w:pPr>
        <w:tabs>
          <w:tab w:val="num" w:pos="3600"/>
        </w:tabs>
        <w:ind w:left="3600" w:hanging="360"/>
      </w:pPr>
      <w:rPr>
        <w:rFonts w:ascii="Arial" w:hAnsi="Arial" w:hint="default"/>
      </w:rPr>
    </w:lvl>
    <w:lvl w:ilvl="5" w:tplc="CE2CF540" w:tentative="1">
      <w:start w:val="1"/>
      <w:numFmt w:val="bullet"/>
      <w:lvlText w:val="•"/>
      <w:lvlJc w:val="left"/>
      <w:pPr>
        <w:tabs>
          <w:tab w:val="num" w:pos="4320"/>
        </w:tabs>
        <w:ind w:left="4320" w:hanging="360"/>
      </w:pPr>
      <w:rPr>
        <w:rFonts w:ascii="Arial" w:hAnsi="Arial" w:hint="default"/>
      </w:rPr>
    </w:lvl>
    <w:lvl w:ilvl="6" w:tplc="31D8A568" w:tentative="1">
      <w:start w:val="1"/>
      <w:numFmt w:val="bullet"/>
      <w:lvlText w:val="•"/>
      <w:lvlJc w:val="left"/>
      <w:pPr>
        <w:tabs>
          <w:tab w:val="num" w:pos="5040"/>
        </w:tabs>
        <w:ind w:left="5040" w:hanging="360"/>
      </w:pPr>
      <w:rPr>
        <w:rFonts w:ascii="Arial" w:hAnsi="Arial" w:hint="default"/>
      </w:rPr>
    </w:lvl>
    <w:lvl w:ilvl="7" w:tplc="32C63D66" w:tentative="1">
      <w:start w:val="1"/>
      <w:numFmt w:val="bullet"/>
      <w:lvlText w:val="•"/>
      <w:lvlJc w:val="left"/>
      <w:pPr>
        <w:tabs>
          <w:tab w:val="num" w:pos="5760"/>
        </w:tabs>
        <w:ind w:left="5760" w:hanging="360"/>
      </w:pPr>
      <w:rPr>
        <w:rFonts w:ascii="Arial" w:hAnsi="Arial" w:hint="default"/>
      </w:rPr>
    </w:lvl>
    <w:lvl w:ilvl="8" w:tplc="C39CEEB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91D3DE0"/>
    <w:multiLevelType w:val="hybridMultilevel"/>
    <w:tmpl w:val="D42E7F5E"/>
    <w:lvl w:ilvl="0" w:tplc="ACA85E1E">
      <w:start w:val="1"/>
      <w:numFmt w:val="bullet"/>
      <w:lvlText w:val="•"/>
      <w:lvlJc w:val="left"/>
      <w:pPr>
        <w:tabs>
          <w:tab w:val="num" w:pos="720"/>
        </w:tabs>
        <w:ind w:left="720" w:hanging="360"/>
      </w:pPr>
      <w:rPr>
        <w:rFonts w:ascii="Arial" w:hAnsi="Arial" w:hint="default"/>
      </w:rPr>
    </w:lvl>
    <w:lvl w:ilvl="1" w:tplc="2C2CDA1C" w:tentative="1">
      <w:start w:val="1"/>
      <w:numFmt w:val="bullet"/>
      <w:lvlText w:val="•"/>
      <w:lvlJc w:val="left"/>
      <w:pPr>
        <w:tabs>
          <w:tab w:val="num" w:pos="1440"/>
        </w:tabs>
        <w:ind w:left="1440" w:hanging="360"/>
      </w:pPr>
      <w:rPr>
        <w:rFonts w:ascii="Arial" w:hAnsi="Arial" w:hint="default"/>
      </w:rPr>
    </w:lvl>
    <w:lvl w:ilvl="2" w:tplc="101C5A76" w:tentative="1">
      <w:start w:val="1"/>
      <w:numFmt w:val="bullet"/>
      <w:lvlText w:val="•"/>
      <w:lvlJc w:val="left"/>
      <w:pPr>
        <w:tabs>
          <w:tab w:val="num" w:pos="2160"/>
        </w:tabs>
        <w:ind w:left="2160" w:hanging="360"/>
      </w:pPr>
      <w:rPr>
        <w:rFonts w:ascii="Arial" w:hAnsi="Arial" w:hint="default"/>
      </w:rPr>
    </w:lvl>
    <w:lvl w:ilvl="3" w:tplc="D2F47514" w:tentative="1">
      <w:start w:val="1"/>
      <w:numFmt w:val="bullet"/>
      <w:lvlText w:val="•"/>
      <w:lvlJc w:val="left"/>
      <w:pPr>
        <w:tabs>
          <w:tab w:val="num" w:pos="2880"/>
        </w:tabs>
        <w:ind w:left="2880" w:hanging="360"/>
      </w:pPr>
      <w:rPr>
        <w:rFonts w:ascii="Arial" w:hAnsi="Arial" w:hint="default"/>
      </w:rPr>
    </w:lvl>
    <w:lvl w:ilvl="4" w:tplc="F2DEB4D6" w:tentative="1">
      <w:start w:val="1"/>
      <w:numFmt w:val="bullet"/>
      <w:lvlText w:val="•"/>
      <w:lvlJc w:val="left"/>
      <w:pPr>
        <w:tabs>
          <w:tab w:val="num" w:pos="3600"/>
        </w:tabs>
        <w:ind w:left="3600" w:hanging="360"/>
      </w:pPr>
      <w:rPr>
        <w:rFonts w:ascii="Arial" w:hAnsi="Arial" w:hint="default"/>
      </w:rPr>
    </w:lvl>
    <w:lvl w:ilvl="5" w:tplc="FE94FC40" w:tentative="1">
      <w:start w:val="1"/>
      <w:numFmt w:val="bullet"/>
      <w:lvlText w:val="•"/>
      <w:lvlJc w:val="left"/>
      <w:pPr>
        <w:tabs>
          <w:tab w:val="num" w:pos="4320"/>
        </w:tabs>
        <w:ind w:left="4320" w:hanging="360"/>
      </w:pPr>
      <w:rPr>
        <w:rFonts w:ascii="Arial" w:hAnsi="Arial" w:hint="default"/>
      </w:rPr>
    </w:lvl>
    <w:lvl w:ilvl="6" w:tplc="CA0E043C" w:tentative="1">
      <w:start w:val="1"/>
      <w:numFmt w:val="bullet"/>
      <w:lvlText w:val="•"/>
      <w:lvlJc w:val="left"/>
      <w:pPr>
        <w:tabs>
          <w:tab w:val="num" w:pos="5040"/>
        </w:tabs>
        <w:ind w:left="5040" w:hanging="360"/>
      </w:pPr>
      <w:rPr>
        <w:rFonts w:ascii="Arial" w:hAnsi="Arial" w:hint="default"/>
      </w:rPr>
    </w:lvl>
    <w:lvl w:ilvl="7" w:tplc="AAB20256" w:tentative="1">
      <w:start w:val="1"/>
      <w:numFmt w:val="bullet"/>
      <w:lvlText w:val="•"/>
      <w:lvlJc w:val="left"/>
      <w:pPr>
        <w:tabs>
          <w:tab w:val="num" w:pos="5760"/>
        </w:tabs>
        <w:ind w:left="5760" w:hanging="360"/>
      </w:pPr>
      <w:rPr>
        <w:rFonts w:ascii="Arial" w:hAnsi="Arial" w:hint="default"/>
      </w:rPr>
    </w:lvl>
    <w:lvl w:ilvl="8" w:tplc="E4B8284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9FC39DE"/>
    <w:multiLevelType w:val="hybridMultilevel"/>
    <w:tmpl w:val="5540FE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5091EBE"/>
    <w:multiLevelType w:val="hybridMultilevel"/>
    <w:tmpl w:val="0AD256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74B41F4"/>
    <w:multiLevelType w:val="hybridMultilevel"/>
    <w:tmpl w:val="EC5AB812"/>
    <w:lvl w:ilvl="0" w:tplc="04070001">
      <w:start w:val="1"/>
      <w:numFmt w:val="bullet"/>
      <w:lvlText w:val=""/>
      <w:lvlJc w:val="left"/>
      <w:pPr>
        <w:ind w:left="1117" w:hanging="360"/>
      </w:pPr>
      <w:rPr>
        <w:rFonts w:ascii="Symbol" w:hAnsi="Symbol" w:hint="default"/>
      </w:rPr>
    </w:lvl>
    <w:lvl w:ilvl="1" w:tplc="04070003" w:tentative="1">
      <w:start w:val="1"/>
      <w:numFmt w:val="bullet"/>
      <w:lvlText w:val="o"/>
      <w:lvlJc w:val="left"/>
      <w:pPr>
        <w:ind w:left="1837" w:hanging="360"/>
      </w:pPr>
      <w:rPr>
        <w:rFonts w:ascii="Courier New" w:hAnsi="Courier New" w:cs="Courier New" w:hint="default"/>
      </w:rPr>
    </w:lvl>
    <w:lvl w:ilvl="2" w:tplc="04070005" w:tentative="1">
      <w:start w:val="1"/>
      <w:numFmt w:val="bullet"/>
      <w:lvlText w:val=""/>
      <w:lvlJc w:val="left"/>
      <w:pPr>
        <w:ind w:left="2557" w:hanging="360"/>
      </w:pPr>
      <w:rPr>
        <w:rFonts w:ascii="Wingdings" w:hAnsi="Wingdings" w:hint="default"/>
      </w:rPr>
    </w:lvl>
    <w:lvl w:ilvl="3" w:tplc="04070001" w:tentative="1">
      <w:start w:val="1"/>
      <w:numFmt w:val="bullet"/>
      <w:lvlText w:val=""/>
      <w:lvlJc w:val="left"/>
      <w:pPr>
        <w:ind w:left="3277" w:hanging="360"/>
      </w:pPr>
      <w:rPr>
        <w:rFonts w:ascii="Symbol" w:hAnsi="Symbol" w:hint="default"/>
      </w:rPr>
    </w:lvl>
    <w:lvl w:ilvl="4" w:tplc="04070003" w:tentative="1">
      <w:start w:val="1"/>
      <w:numFmt w:val="bullet"/>
      <w:lvlText w:val="o"/>
      <w:lvlJc w:val="left"/>
      <w:pPr>
        <w:ind w:left="3997" w:hanging="360"/>
      </w:pPr>
      <w:rPr>
        <w:rFonts w:ascii="Courier New" w:hAnsi="Courier New" w:cs="Courier New" w:hint="default"/>
      </w:rPr>
    </w:lvl>
    <w:lvl w:ilvl="5" w:tplc="04070005" w:tentative="1">
      <w:start w:val="1"/>
      <w:numFmt w:val="bullet"/>
      <w:lvlText w:val=""/>
      <w:lvlJc w:val="left"/>
      <w:pPr>
        <w:ind w:left="4717" w:hanging="360"/>
      </w:pPr>
      <w:rPr>
        <w:rFonts w:ascii="Wingdings" w:hAnsi="Wingdings" w:hint="default"/>
      </w:rPr>
    </w:lvl>
    <w:lvl w:ilvl="6" w:tplc="04070001" w:tentative="1">
      <w:start w:val="1"/>
      <w:numFmt w:val="bullet"/>
      <w:lvlText w:val=""/>
      <w:lvlJc w:val="left"/>
      <w:pPr>
        <w:ind w:left="5437" w:hanging="360"/>
      </w:pPr>
      <w:rPr>
        <w:rFonts w:ascii="Symbol" w:hAnsi="Symbol" w:hint="default"/>
      </w:rPr>
    </w:lvl>
    <w:lvl w:ilvl="7" w:tplc="04070003" w:tentative="1">
      <w:start w:val="1"/>
      <w:numFmt w:val="bullet"/>
      <w:lvlText w:val="o"/>
      <w:lvlJc w:val="left"/>
      <w:pPr>
        <w:ind w:left="6157" w:hanging="360"/>
      </w:pPr>
      <w:rPr>
        <w:rFonts w:ascii="Courier New" w:hAnsi="Courier New" w:cs="Courier New" w:hint="default"/>
      </w:rPr>
    </w:lvl>
    <w:lvl w:ilvl="8" w:tplc="04070005" w:tentative="1">
      <w:start w:val="1"/>
      <w:numFmt w:val="bullet"/>
      <w:lvlText w:val=""/>
      <w:lvlJc w:val="left"/>
      <w:pPr>
        <w:ind w:left="6877" w:hanging="360"/>
      </w:pPr>
      <w:rPr>
        <w:rFonts w:ascii="Wingdings" w:hAnsi="Wingdings" w:hint="default"/>
      </w:rPr>
    </w:lvl>
  </w:abstractNum>
  <w:abstractNum w:abstractNumId="1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15:restartNumberingAfterBreak="0">
    <w:nsid w:val="4AAD1C11"/>
    <w:multiLevelType w:val="hybridMultilevel"/>
    <w:tmpl w:val="DBA632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2FE1977"/>
    <w:multiLevelType w:val="hybridMultilevel"/>
    <w:tmpl w:val="54CED5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458784E"/>
    <w:multiLevelType w:val="multilevel"/>
    <w:tmpl w:val="1EBA0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3ED54F8"/>
    <w:multiLevelType w:val="hybridMultilevel"/>
    <w:tmpl w:val="C934862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F776944"/>
    <w:multiLevelType w:val="multilevel"/>
    <w:tmpl w:val="6228F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0146DC0"/>
    <w:multiLevelType w:val="hybridMultilevel"/>
    <w:tmpl w:val="D6D8A82E"/>
    <w:lvl w:ilvl="0" w:tplc="FFFFFFFF">
      <w:start w:val="1"/>
      <w:numFmt w:val="bullet"/>
      <w:pStyle w:val="Agreement"/>
      <w:lvlText w:val=""/>
      <w:lvlJc w:val="left"/>
      <w:pPr>
        <w:tabs>
          <w:tab w:val="num" w:pos="5039"/>
        </w:tabs>
        <w:ind w:left="5039"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27"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19D6546"/>
    <w:multiLevelType w:val="hybridMultilevel"/>
    <w:tmpl w:val="018A65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4361FDC"/>
    <w:multiLevelType w:val="hybridMultilevel"/>
    <w:tmpl w:val="E6BA08AC"/>
    <w:lvl w:ilvl="0" w:tplc="04070001">
      <w:start w:val="1"/>
      <w:numFmt w:val="bullet"/>
      <w:lvlText w:val=""/>
      <w:lvlJc w:val="left"/>
      <w:pPr>
        <w:ind w:left="1117" w:hanging="360"/>
      </w:pPr>
      <w:rPr>
        <w:rFonts w:ascii="Symbol" w:hAnsi="Symbol" w:hint="default"/>
      </w:rPr>
    </w:lvl>
    <w:lvl w:ilvl="1" w:tplc="04070003" w:tentative="1">
      <w:start w:val="1"/>
      <w:numFmt w:val="bullet"/>
      <w:lvlText w:val="o"/>
      <w:lvlJc w:val="left"/>
      <w:pPr>
        <w:ind w:left="1837" w:hanging="360"/>
      </w:pPr>
      <w:rPr>
        <w:rFonts w:ascii="Courier New" w:hAnsi="Courier New" w:cs="Courier New" w:hint="default"/>
      </w:rPr>
    </w:lvl>
    <w:lvl w:ilvl="2" w:tplc="04070005" w:tentative="1">
      <w:start w:val="1"/>
      <w:numFmt w:val="bullet"/>
      <w:lvlText w:val=""/>
      <w:lvlJc w:val="left"/>
      <w:pPr>
        <w:ind w:left="2557" w:hanging="360"/>
      </w:pPr>
      <w:rPr>
        <w:rFonts w:ascii="Wingdings" w:hAnsi="Wingdings" w:hint="default"/>
      </w:rPr>
    </w:lvl>
    <w:lvl w:ilvl="3" w:tplc="04070001" w:tentative="1">
      <w:start w:val="1"/>
      <w:numFmt w:val="bullet"/>
      <w:lvlText w:val=""/>
      <w:lvlJc w:val="left"/>
      <w:pPr>
        <w:ind w:left="3277" w:hanging="360"/>
      </w:pPr>
      <w:rPr>
        <w:rFonts w:ascii="Symbol" w:hAnsi="Symbol" w:hint="default"/>
      </w:rPr>
    </w:lvl>
    <w:lvl w:ilvl="4" w:tplc="04070003" w:tentative="1">
      <w:start w:val="1"/>
      <w:numFmt w:val="bullet"/>
      <w:lvlText w:val="o"/>
      <w:lvlJc w:val="left"/>
      <w:pPr>
        <w:ind w:left="3997" w:hanging="360"/>
      </w:pPr>
      <w:rPr>
        <w:rFonts w:ascii="Courier New" w:hAnsi="Courier New" w:cs="Courier New" w:hint="default"/>
      </w:rPr>
    </w:lvl>
    <w:lvl w:ilvl="5" w:tplc="04070005" w:tentative="1">
      <w:start w:val="1"/>
      <w:numFmt w:val="bullet"/>
      <w:lvlText w:val=""/>
      <w:lvlJc w:val="left"/>
      <w:pPr>
        <w:ind w:left="4717" w:hanging="360"/>
      </w:pPr>
      <w:rPr>
        <w:rFonts w:ascii="Wingdings" w:hAnsi="Wingdings" w:hint="default"/>
      </w:rPr>
    </w:lvl>
    <w:lvl w:ilvl="6" w:tplc="04070001" w:tentative="1">
      <w:start w:val="1"/>
      <w:numFmt w:val="bullet"/>
      <w:lvlText w:val=""/>
      <w:lvlJc w:val="left"/>
      <w:pPr>
        <w:ind w:left="5437" w:hanging="360"/>
      </w:pPr>
      <w:rPr>
        <w:rFonts w:ascii="Symbol" w:hAnsi="Symbol" w:hint="default"/>
      </w:rPr>
    </w:lvl>
    <w:lvl w:ilvl="7" w:tplc="04070003" w:tentative="1">
      <w:start w:val="1"/>
      <w:numFmt w:val="bullet"/>
      <w:lvlText w:val="o"/>
      <w:lvlJc w:val="left"/>
      <w:pPr>
        <w:ind w:left="6157" w:hanging="360"/>
      </w:pPr>
      <w:rPr>
        <w:rFonts w:ascii="Courier New" w:hAnsi="Courier New" w:cs="Courier New" w:hint="default"/>
      </w:rPr>
    </w:lvl>
    <w:lvl w:ilvl="8" w:tplc="04070005" w:tentative="1">
      <w:start w:val="1"/>
      <w:numFmt w:val="bullet"/>
      <w:lvlText w:val=""/>
      <w:lvlJc w:val="left"/>
      <w:pPr>
        <w:ind w:left="6877" w:hanging="360"/>
      </w:pPr>
      <w:rPr>
        <w:rFonts w:ascii="Wingdings" w:hAnsi="Wingdings" w:hint="default"/>
      </w:rPr>
    </w:lvl>
  </w:abstractNum>
  <w:num w:numId="1" w16cid:durableId="165494404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1603018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07485811">
    <w:abstractNumId w:val="2"/>
  </w:num>
  <w:num w:numId="4" w16cid:durableId="634458012">
    <w:abstractNumId w:val="13"/>
  </w:num>
  <w:num w:numId="5" w16cid:durableId="157622552">
    <w:abstractNumId w:val="12"/>
  </w:num>
  <w:num w:numId="6" w16cid:durableId="1559051205">
    <w:abstractNumId w:val="19"/>
  </w:num>
  <w:num w:numId="7" w16cid:durableId="599411041">
    <w:abstractNumId w:val="20"/>
  </w:num>
  <w:num w:numId="8" w16cid:durableId="1091704640">
    <w:abstractNumId w:val="1"/>
  </w:num>
  <w:num w:numId="9" w16cid:durableId="862859253">
    <w:abstractNumId w:val="25"/>
  </w:num>
  <w:num w:numId="10" w16cid:durableId="426463799">
    <w:abstractNumId w:val="26"/>
  </w:num>
  <w:num w:numId="11" w16cid:durableId="1397047140">
    <w:abstractNumId w:val="28"/>
  </w:num>
  <w:num w:numId="12" w16cid:durableId="597326920">
    <w:abstractNumId w:val="5"/>
  </w:num>
  <w:num w:numId="13" w16cid:durableId="673075332">
    <w:abstractNumId w:val="29"/>
  </w:num>
  <w:num w:numId="14" w16cid:durableId="555431184">
    <w:abstractNumId w:val="18"/>
  </w:num>
  <w:num w:numId="15" w16cid:durableId="1598635708">
    <w:abstractNumId w:val="10"/>
  </w:num>
  <w:num w:numId="16" w16cid:durableId="2021078123">
    <w:abstractNumId w:val="24"/>
  </w:num>
  <w:num w:numId="17" w16cid:durableId="593518433">
    <w:abstractNumId w:val="16"/>
  </w:num>
  <w:num w:numId="18" w16cid:durableId="1725910524">
    <w:abstractNumId w:val="11"/>
  </w:num>
  <w:num w:numId="19" w16cid:durableId="2100981281">
    <w:abstractNumId w:val="21"/>
  </w:num>
  <w:num w:numId="20" w16cid:durableId="878006971">
    <w:abstractNumId w:val="9"/>
  </w:num>
  <w:num w:numId="21" w16cid:durableId="131604120">
    <w:abstractNumId w:val="14"/>
  </w:num>
  <w:num w:numId="22" w16cid:durableId="1477146556">
    <w:abstractNumId w:val="15"/>
  </w:num>
  <w:num w:numId="23" w16cid:durableId="1067991396">
    <w:abstractNumId w:val="6"/>
  </w:num>
  <w:num w:numId="24" w16cid:durableId="1675571090">
    <w:abstractNumId w:val="22"/>
  </w:num>
  <w:num w:numId="25" w16cid:durableId="1098986066">
    <w:abstractNumId w:val="3"/>
  </w:num>
  <w:num w:numId="26" w16cid:durableId="641082457">
    <w:abstractNumId w:val="4"/>
  </w:num>
  <w:num w:numId="27" w16cid:durableId="413746016">
    <w:abstractNumId w:val="17"/>
  </w:num>
  <w:num w:numId="28" w16cid:durableId="177890118">
    <w:abstractNumId w:val="23"/>
  </w:num>
  <w:num w:numId="29" w16cid:durableId="1233926732">
    <w:abstractNumId w:val="27"/>
  </w:num>
  <w:num w:numId="30" w16cid:durableId="200207397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1" w16cid:durableId="178279934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796097538">
    <w:abstractNumId w:val="7"/>
  </w:num>
  <w:num w:numId="33" w16cid:durableId="81572866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0B7BCF"/>
    <w:rsid w:val="00000575"/>
    <w:rsid w:val="00006C10"/>
    <w:rsid w:val="0000703C"/>
    <w:rsid w:val="00010426"/>
    <w:rsid w:val="00016557"/>
    <w:rsid w:val="00023C40"/>
    <w:rsid w:val="00027DAF"/>
    <w:rsid w:val="00033397"/>
    <w:rsid w:val="00040095"/>
    <w:rsid w:val="00040749"/>
    <w:rsid w:val="00053220"/>
    <w:rsid w:val="00053826"/>
    <w:rsid w:val="000634E0"/>
    <w:rsid w:val="00065268"/>
    <w:rsid w:val="000737D8"/>
    <w:rsid w:val="00073C9C"/>
    <w:rsid w:val="00076412"/>
    <w:rsid w:val="00080512"/>
    <w:rsid w:val="00090468"/>
    <w:rsid w:val="00093F8E"/>
    <w:rsid w:val="00094568"/>
    <w:rsid w:val="000966AB"/>
    <w:rsid w:val="00096A5E"/>
    <w:rsid w:val="000A3A5E"/>
    <w:rsid w:val="000B40B3"/>
    <w:rsid w:val="000B5BF4"/>
    <w:rsid w:val="000B6229"/>
    <w:rsid w:val="000B7277"/>
    <w:rsid w:val="000B7BCF"/>
    <w:rsid w:val="000C3350"/>
    <w:rsid w:val="000C3752"/>
    <w:rsid w:val="000C4D50"/>
    <w:rsid w:val="000C522B"/>
    <w:rsid w:val="000C527C"/>
    <w:rsid w:val="000D1BE8"/>
    <w:rsid w:val="000D58AB"/>
    <w:rsid w:val="000D7026"/>
    <w:rsid w:val="000E4B54"/>
    <w:rsid w:val="000E6AB9"/>
    <w:rsid w:val="000F6433"/>
    <w:rsid w:val="00112AC6"/>
    <w:rsid w:val="00112F1A"/>
    <w:rsid w:val="00114011"/>
    <w:rsid w:val="00114DED"/>
    <w:rsid w:val="001239A9"/>
    <w:rsid w:val="001247ED"/>
    <w:rsid w:val="0012488A"/>
    <w:rsid w:val="00125A22"/>
    <w:rsid w:val="00127306"/>
    <w:rsid w:val="00135869"/>
    <w:rsid w:val="00140452"/>
    <w:rsid w:val="00141498"/>
    <w:rsid w:val="00145075"/>
    <w:rsid w:val="00146214"/>
    <w:rsid w:val="0014704D"/>
    <w:rsid w:val="0016229A"/>
    <w:rsid w:val="00163FD5"/>
    <w:rsid w:val="001640AA"/>
    <w:rsid w:val="00166EB8"/>
    <w:rsid w:val="001679D6"/>
    <w:rsid w:val="00173048"/>
    <w:rsid w:val="001741A0"/>
    <w:rsid w:val="00175111"/>
    <w:rsid w:val="001755E0"/>
    <w:rsid w:val="00175FA0"/>
    <w:rsid w:val="00181C21"/>
    <w:rsid w:val="0018542A"/>
    <w:rsid w:val="00185D10"/>
    <w:rsid w:val="00187ED6"/>
    <w:rsid w:val="00191CD9"/>
    <w:rsid w:val="00194B35"/>
    <w:rsid w:val="00194CD0"/>
    <w:rsid w:val="00197C42"/>
    <w:rsid w:val="001A05C8"/>
    <w:rsid w:val="001A1903"/>
    <w:rsid w:val="001A1FEC"/>
    <w:rsid w:val="001B49C9"/>
    <w:rsid w:val="001B6EB6"/>
    <w:rsid w:val="001C23F4"/>
    <w:rsid w:val="001C4757"/>
    <w:rsid w:val="001C4F79"/>
    <w:rsid w:val="001D0F2B"/>
    <w:rsid w:val="001D7D17"/>
    <w:rsid w:val="001E1525"/>
    <w:rsid w:val="001E4D52"/>
    <w:rsid w:val="001E6858"/>
    <w:rsid w:val="001E7B1C"/>
    <w:rsid w:val="001F144B"/>
    <w:rsid w:val="001F168B"/>
    <w:rsid w:val="001F27AA"/>
    <w:rsid w:val="001F36BF"/>
    <w:rsid w:val="001F7831"/>
    <w:rsid w:val="0020257D"/>
    <w:rsid w:val="00203192"/>
    <w:rsid w:val="00204045"/>
    <w:rsid w:val="0020712B"/>
    <w:rsid w:val="00216FAA"/>
    <w:rsid w:val="002177E5"/>
    <w:rsid w:val="00220926"/>
    <w:rsid w:val="002224F6"/>
    <w:rsid w:val="002224FA"/>
    <w:rsid w:val="002245A7"/>
    <w:rsid w:val="0022606D"/>
    <w:rsid w:val="00231728"/>
    <w:rsid w:val="00235E4B"/>
    <w:rsid w:val="00240BDF"/>
    <w:rsid w:val="00244A05"/>
    <w:rsid w:val="00246437"/>
    <w:rsid w:val="00250404"/>
    <w:rsid w:val="00255368"/>
    <w:rsid w:val="00256B74"/>
    <w:rsid w:val="00257D23"/>
    <w:rsid w:val="002610D8"/>
    <w:rsid w:val="002654AC"/>
    <w:rsid w:val="002665D8"/>
    <w:rsid w:val="00273FC8"/>
    <w:rsid w:val="002747EC"/>
    <w:rsid w:val="002768A9"/>
    <w:rsid w:val="002819ED"/>
    <w:rsid w:val="00281C1D"/>
    <w:rsid w:val="002855BF"/>
    <w:rsid w:val="0028634E"/>
    <w:rsid w:val="002970FE"/>
    <w:rsid w:val="002A0E4D"/>
    <w:rsid w:val="002B2988"/>
    <w:rsid w:val="002B7E1A"/>
    <w:rsid w:val="002C21E2"/>
    <w:rsid w:val="002C2892"/>
    <w:rsid w:val="002D0D53"/>
    <w:rsid w:val="002D5E4A"/>
    <w:rsid w:val="002D75D1"/>
    <w:rsid w:val="002D7E22"/>
    <w:rsid w:val="002E6DF7"/>
    <w:rsid w:val="002F0D22"/>
    <w:rsid w:val="002F3787"/>
    <w:rsid w:val="002F557C"/>
    <w:rsid w:val="002F5E1D"/>
    <w:rsid w:val="00310A49"/>
    <w:rsid w:val="00311139"/>
    <w:rsid w:val="00311B17"/>
    <w:rsid w:val="003172DC"/>
    <w:rsid w:val="00320583"/>
    <w:rsid w:val="00322274"/>
    <w:rsid w:val="00325AE3"/>
    <w:rsid w:val="00326069"/>
    <w:rsid w:val="00332457"/>
    <w:rsid w:val="00333668"/>
    <w:rsid w:val="0033531D"/>
    <w:rsid w:val="003356DB"/>
    <w:rsid w:val="003414A4"/>
    <w:rsid w:val="003513A3"/>
    <w:rsid w:val="0035462D"/>
    <w:rsid w:val="00355807"/>
    <w:rsid w:val="003567B4"/>
    <w:rsid w:val="003605F7"/>
    <w:rsid w:val="00360D30"/>
    <w:rsid w:val="0036459E"/>
    <w:rsid w:val="00364B41"/>
    <w:rsid w:val="00370150"/>
    <w:rsid w:val="00370FA8"/>
    <w:rsid w:val="00383096"/>
    <w:rsid w:val="00384A20"/>
    <w:rsid w:val="0039008D"/>
    <w:rsid w:val="00393076"/>
    <w:rsid w:val="0039346C"/>
    <w:rsid w:val="003A23E2"/>
    <w:rsid w:val="003A41EF"/>
    <w:rsid w:val="003A5676"/>
    <w:rsid w:val="003B0577"/>
    <w:rsid w:val="003B40AD"/>
    <w:rsid w:val="003B6C57"/>
    <w:rsid w:val="003B7623"/>
    <w:rsid w:val="003C4E37"/>
    <w:rsid w:val="003D0FD0"/>
    <w:rsid w:val="003E088C"/>
    <w:rsid w:val="003E16BE"/>
    <w:rsid w:val="003E1BA3"/>
    <w:rsid w:val="003E2326"/>
    <w:rsid w:val="003E611C"/>
    <w:rsid w:val="003F4CC5"/>
    <w:rsid w:val="003F4E28"/>
    <w:rsid w:val="003F51A6"/>
    <w:rsid w:val="003F7204"/>
    <w:rsid w:val="003F7DBF"/>
    <w:rsid w:val="004006E8"/>
    <w:rsid w:val="00401699"/>
    <w:rsid w:val="00401855"/>
    <w:rsid w:val="00404BCF"/>
    <w:rsid w:val="00406123"/>
    <w:rsid w:val="004121B3"/>
    <w:rsid w:val="00416043"/>
    <w:rsid w:val="00417091"/>
    <w:rsid w:val="004248A2"/>
    <w:rsid w:val="00426459"/>
    <w:rsid w:val="00427446"/>
    <w:rsid w:val="0043140B"/>
    <w:rsid w:val="00431711"/>
    <w:rsid w:val="0043611E"/>
    <w:rsid w:val="004404B0"/>
    <w:rsid w:val="00445F96"/>
    <w:rsid w:val="00446B1C"/>
    <w:rsid w:val="00446C3A"/>
    <w:rsid w:val="00452146"/>
    <w:rsid w:val="00453DB1"/>
    <w:rsid w:val="004552F3"/>
    <w:rsid w:val="00456A70"/>
    <w:rsid w:val="00465587"/>
    <w:rsid w:val="00474377"/>
    <w:rsid w:val="00477455"/>
    <w:rsid w:val="0048129E"/>
    <w:rsid w:val="0048599B"/>
    <w:rsid w:val="00485C13"/>
    <w:rsid w:val="004A1F7B"/>
    <w:rsid w:val="004A7A6C"/>
    <w:rsid w:val="004B037A"/>
    <w:rsid w:val="004B1146"/>
    <w:rsid w:val="004B6E9E"/>
    <w:rsid w:val="004C0124"/>
    <w:rsid w:val="004C3732"/>
    <w:rsid w:val="004C44D2"/>
    <w:rsid w:val="004C7CE6"/>
    <w:rsid w:val="004C7CEA"/>
    <w:rsid w:val="004D3578"/>
    <w:rsid w:val="004D380D"/>
    <w:rsid w:val="004D4A85"/>
    <w:rsid w:val="004D5930"/>
    <w:rsid w:val="004E213A"/>
    <w:rsid w:val="004E21C5"/>
    <w:rsid w:val="004E7553"/>
    <w:rsid w:val="004E75B2"/>
    <w:rsid w:val="004F3D17"/>
    <w:rsid w:val="004F4199"/>
    <w:rsid w:val="004F4540"/>
    <w:rsid w:val="004F6665"/>
    <w:rsid w:val="004F73A7"/>
    <w:rsid w:val="0050258F"/>
    <w:rsid w:val="00503171"/>
    <w:rsid w:val="00503A49"/>
    <w:rsid w:val="00503DA2"/>
    <w:rsid w:val="0050524A"/>
    <w:rsid w:val="00505C6B"/>
    <w:rsid w:val="00506C28"/>
    <w:rsid w:val="005116FD"/>
    <w:rsid w:val="0051270A"/>
    <w:rsid w:val="00516722"/>
    <w:rsid w:val="00520DF4"/>
    <w:rsid w:val="00533C3B"/>
    <w:rsid w:val="00534DA0"/>
    <w:rsid w:val="00536033"/>
    <w:rsid w:val="00537809"/>
    <w:rsid w:val="00541A7B"/>
    <w:rsid w:val="00542D71"/>
    <w:rsid w:val="00543E6C"/>
    <w:rsid w:val="005457FC"/>
    <w:rsid w:val="00546CF4"/>
    <w:rsid w:val="00550958"/>
    <w:rsid w:val="00555570"/>
    <w:rsid w:val="00555947"/>
    <w:rsid w:val="00565087"/>
    <w:rsid w:val="0056573F"/>
    <w:rsid w:val="0056758E"/>
    <w:rsid w:val="00571279"/>
    <w:rsid w:val="0057271B"/>
    <w:rsid w:val="00583EE8"/>
    <w:rsid w:val="00585741"/>
    <w:rsid w:val="00595AC2"/>
    <w:rsid w:val="005A13AB"/>
    <w:rsid w:val="005A4639"/>
    <w:rsid w:val="005A49C6"/>
    <w:rsid w:val="005A6EA6"/>
    <w:rsid w:val="005B1657"/>
    <w:rsid w:val="005B3097"/>
    <w:rsid w:val="005B4349"/>
    <w:rsid w:val="005C6126"/>
    <w:rsid w:val="005C766E"/>
    <w:rsid w:val="005C7CD5"/>
    <w:rsid w:val="005D2C99"/>
    <w:rsid w:val="005E0BF1"/>
    <w:rsid w:val="005F30BD"/>
    <w:rsid w:val="00601046"/>
    <w:rsid w:val="00603365"/>
    <w:rsid w:val="00603942"/>
    <w:rsid w:val="006050C3"/>
    <w:rsid w:val="00611566"/>
    <w:rsid w:val="0061189C"/>
    <w:rsid w:val="006118C5"/>
    <w:rsid w:val="00612C6B"/>
    <w:rsid w:val="00625111"/>
    <w:rsid w:val="006255F2"/>
    <w:rsid w:val="00625637"/>
    <w:rsid w:val="00625A1E"/>
    <w:rsid w:val="00627A46"/>
    <w:rsid w:val="00640FFE"/>
    <w:rsid w:val="006469DA"/>
    <w:rsid w:val="00646D99"/>
    <w:rsid w:val="006533CC"/>
    <w:rsid w:val="00656910"/>
    <w:rsid w:val="006574C0"/>
    <w:rsid w:val="00661840"/>
    <w:rsid w:val="006648C3"/>
    <w:rsid w:val="00671C24"/>
    <w:rsid w:val="00684371"/>
    <w:rsid w:val="0068594B"/>
    <w:rsid w:val="00691F15"/>
    <w:rsid w:val="00692669"/>
    <w:rsid w:val="00693C79"/>
    <w:rsid w:val="00696821"/>
    <w:rsid w:val="006979E3"/>
    <w:rsid w:val="006A2683"/>
    <w:rsid w:val="006A4354"/>
    <w:rsid w:val="006A641C"/>
    <w:rsid w:val="006A7204"/>
    <w:rsid w:val="006C02BC"/>
    <w:rsid w:val="006C66D8"/>
    <w:rsid w:val="006D1E24"/>
    <w:rsid w:val="006D35DE"/>
    <w:rsid w:val="006E1057"/>
    <w:rsid w:val="006E1417"/>
    <w:rsid w:val="006E2DB3"/>
    <w:rsid w:val="006F6549"/>
    <w:rsid w:val="006F6A2C"/>
    <w:rsid w:val="007000F9"/>
    <w:rsid w:val="007036C1"/>
    <w:rsid w:val="00706356"/>
    <w:rsid w:val="007069DC"/>
    <w:rsid w:val="007075AE"/>
    <w:rsid w:val="00710201"/>
    <w:rsid w:val="00711F53"/>
    <w:rsid w:val="0072073A"/>
    <w:rsid w:val="007342B5"/>
    <w:rsid w:val="00734A5B"/>
    <w:rsid w:val="00735B5A"/>
    <w:rsid w:val="007426A8"/>
    <w:rsid w:val="00744E76"/>
    <w:rsid w:val="00745BF7"/>
    <w:rsid w:val="007478C2"/>
    <w:rsid w:val="00750087"/>
    <w:rsid w:val="00753100"/>
    <w:rsid w:val="00756850"/>
    <w:rsid w:val="00757D40"/>
    <w:rsid w:val="007662B5"/>
    <w:rsid w:val="00766CCC"/>
    <w:rsid w:val="00767848"/>
    <w:rsid w:val="00781F0F"/>
    <w:rsid w:val="00782F10"/>
    <w:rsid w:val="00783140"/>
    <w:rsid w:val="007856B7"/>
    <w:rsid w:val="0078727C"/>
    <w:rsid w:val="00787EC3"/>
    <w:rsid w:val="0079049D"/>
    <w:rsid w:val="00792244"/>
    <w:rsid w:val="00792B6B"/>
    <w:rsid w:val="007932F5"/>
    <w:rsid w:val="00793DC5"/>
    <w:rsid w:val="0079451B"/>
    <w:rsid w:val="00796823"/>
    <w:rsid w:val="007974EB"/>
    <w:rsid w:val="007A2E55"/>
    <w:rsid w:val="007A5156"/>
    <w:rsid w:val="007B07BB"/>
    <w:rsid w:val="007B18D8"/>
    <w:rsid w:val="007B4CB7"/>
    <w:rsid w:val="007B51F1"/>
    <w:rsid w:val="007B631D"/>
    <w:rsid w:val="007C095F"/>
    <w:rsid w:val="007C1A68"/>
    <w:rsid w:val="007C1DF0"/>
    <w:rsid w:val="007C2DD0"/>
    <w:rsid w:val="007D0825"/>
    <w:rsid w:val="007D18D2"/>
    <w:rsid w:val="007D46FA"/>
    <w:rsid w:val="007E0378"/>
    <w:rsid w:val="007E77F1"/>
    <w:rsid w:val="007F1779"/>
    <w:rsid w:val="007F2E08"/>
    <w:rsid w:val="007F5DFC"/>
    <w:rsid w:val="008004E4"/>
    <w:rsid w:val="00800F53"/>
    <w:rsid w:val="008024FA"/>
    <w:rsid w:val="008028A4"/>
    <w:rsid w:val="00804DA5"/>
    <w:rsid w:val="0080746C"/>
    <w:rsid w:val="00813245"/>
    <w:rsid w:val="00817386"/>
    <w:rsid w:val="00822852"/>
    <w:rsid w:val="00830B96"/>
    <w:rsid w:val="00831BEA"/>
    <w:rsid w:val="00831C5E"/>
    <w:rsid w:val="00840DE0"/>
    <w:rsid w:val="0084100C"/>
    <w:rsid w:val="008425A2"/>
    <w:rsid w:val="008426AA"/>
    <w:rsid w:val="00847CD0"/>
    <w:rsid w:val="0085067B"/>
    <w:rsid w:val="00851580"/>
    <w:rsid w:val="00851FDF"/>
    <w:rsid w:val="00854142"/>
    <w:rsid w:val="008607A8"/>
    <w:rsid w:val="0086354A"/>
    <w:rsid w:val="00865906"/>
    <w:rsid w:val="008768CA"/>
    <w:rsid w:val="00877EF9"/>
    <w:rsid w:val="00880559"/>
    <w:rsid w:val="008822A5"/>
    <w:rsid w:val="00887739"/>
    <w:rsid w:val="00887CB0"/>
    <w:rsid w:val="00892D64"/>
    <w:rsid w:val="00893394"/>
    <w:rsid w:val="00897B2E"/>
    <w:rsid w:val="008A2745"/>
    <w:rsid w:val="008B38BD"/>
    <w:rsid w:val="008B5306"/>
    <w:rsid w:val="008B54E8"/>
    <w:rsid w:val="008B5EBB"/>
    <w:rsid w:val="008B7632"/>
    <w:rsid w:val="008C1E68"/>
    <w:rsid w:val="008C2E2A"/>
    <w:rsid w:val="008C3057"/>
    <w:rsid w:val="008C6CAC"/>
    <w:rsid w:val="008D1541"/>
    <w:rsid w:val="008D2E4D"/>
    <w:rsid w:val="008D643F"/>
    <w:rsid w:val="008D6D96"/>
    <w:rsid w:val="008D6E31"/>
    <w:rsid w:val="008D70B6"/>
    <w:rsid w:val="008E0568"/>
    <w:rsid w:val="008E07B9"/>
    <w:rsid w:val="008E5F8C"/>
    <w:rsid w:val="008F2190"/>
    <w:rsid w:val="008F3597"/>
    <w:rsid w:val="008F396F"/>
    <w:rsid w:val="008F3DCD"/>
    <w:rsid w:val="008F3ECC"/>
    <w:rsid w:val="008F4E50"/>
    <w:rsid w:val="0090271F"/>
    <w:rsid w:val="00902DB9"/>
    <w:rsid w:val="0090466A"/>
    <w:rsid w:val="009059DE"/>
    <w:rsid w:val="00905E5A"/>
    <w:rsid w:val="009079CB"/>
    <w:rsid w:val="00907E7C"/>
    <w:rsid w:val="00920CAD"/>
    <w:rsid w:val="00922532"/>
    <w:rsid w:val="00923655"/>
    <w:rsid w:val="009248C6"/>
    <w:rsid w:val="00925938"/>
    <w:rsid w:val="00930F00"/>
    <w:rsid w:val="00930F2B"/>
    <w:rsid w:val="009339CB"/>
    <w:rsid w:val="00936071"/>
    <w:rsid w:val="00937108"/>
    <w:rsid w:val="009376CD"/>
    <w:rsid w:val="00940212"/>
    <w:rsid w:val="00941FFD"/>
    <w:rsid w:val="00942EC2"/>
    <w:rsid w:val="00943549"/>
    <w:rsid w:val="00946D57"/>
    <w:rsid w:val="009514A8"/>
    <w:rsid w:val="009565ED"/>
    <w:rsid w:val="00961158"/>
    <w:rsid w:val="00961B32"/>
    <w:rsid w:val="00962509"/>
    <w:rsid w:val="00967DE9"/>
    <w:rsid w:val="00970DB3"/>
    <w:rsid w:val="00971DCD"/>
    <w:rsid w:val="00972CAF"/>
    <w:rsid w:val="00974BB0"/>
    <w:rsid w:val="00975BCD"/>
    <w:rsid w:val="0097659F"/>
    <w:rsid w:val="00977179"/>
    <w:rsid w:val="009818A2"/>
    <w:rsid w:val="0098332E"/>
    <w:rsid w:val="009928A9"/>
    <w:rsid w:val="00992E70"/>
    <w:rsid w:val="0099657F"/>
    <w:rsid w:val="0099730F"/>
    <w:rsid w:val="0099787E"/>
    <w:rsid w:val="009A0AF3"/>
    <w:rsid w:val="009B07CD"/>
    <w:rsid w:val="009B6BB0"/>
    <w:rsid w:val="009C19E9"/>
    <w:rsid w:val="009C4E36"/>
    <w:rsid w:val="009C59C5"/>
    <w:rsid w:val="009C6491"/>
    <w:rsid w:val="009C6BDD"/>
    <w:rsid w:val="009D74A6"/>
    <w:rsid w:val="009D7DD1"/>
    <w:rsid w:val="009E0E87"/>
    <w:rsid w:val="009E0EBE"/>
    <w:rsid w:val="009E0EEF"/>
    <w:rsid w:val="009E37BC"/>
    <w:rsid w:val="009E5487"/>
    <w:rsid w:val="00A10F02"/>
    <w:rsid w:val="00A17176"/>
    <w:rsid w:val="00A17E50"/>
    <w:rsid w:val="00A204CA"/>
    <w:rsid w:val="00A209D6"/>
    <w:rsid w:val="00A223CD"/>
    <w:rsid w:val="00A22738"/>
    <w:rsid w:val="00A257EE"/>
    <w:rsid w:val="00A274FB"/>
    <w:rsid w:val="00A27B8A"/>
    <w:rsid w:val="00A36F5F"/>
    <w:rsid w:val="00A430EC"/>
    <w:rsid w:val="00A46BB6"/>
    <w:rsid w:val="00A5088B"/>
    <w:rsid w:val="00A53724"/>
    <w:rsid w:val="00A54B2B"/>
    <w:rsid w:val="00A564C8"/>
    <w:rsid w:val="00A56CBE"/>
    <w:rsid w:val="00A5713D"/>
    <w:rsid w:val="00A57461"/>
    <w:rsid w:val="00A61AC5"/>
    <w:rsid w:val="00A661C3"/>
    <w:rsid w:val="00A703B6"/>
    <w:rsid w:val="00A82346"/>
    <w:rsid w:val="00A83E6C"/>
    <w:rsid w:val="00A86B25"/>
    <w:rsid w:val="00A9671C"/>
    <w:rsid w:val="00AA1553"/>
    <w:rsid w:val="00AA2515"/>
    <w:rsid w:val="00AA27D1"/>
    <w:rsid w:val="00AA2C07"/>
    <w:rsid w:val="00AB319B"/>
    <w:rsid w:val="00AC09CA"/>
    <w:rsid w:val="00AC3143"/>
    <w:rsid w:val="00AC382E"/>
    <w:rsid w:val="00AC53A7"/>
    <w:rsid w:val="00AC655A"/>
    <w:rsid w:val="00AC70E9"/>
    <w:rsid w:val="00AD0781"/>
    <w:rsid w:val="00AD4C0C"/>
    <w:rsid w:val="00AD5CC5"/>
    <w:rsid w:val="00AD7E7C"/>
    <w:rsid w:val="00AE41AE"/>
    <w:rsid w:val="00AF1E46"/>
    <w:rsid w:val="00AF38D4"/>
    <w:rsid w:val="00AF3FDD"/>
    <w:rsid w:val="00AF632A"/>
    <w:rsid w:val="00B00972"/>
    <w:rsid w:val="00B02B8A"/>
    <w:rsid w:val="00B05380"/>
    <w:rsid w:val="00B05962"/>
    <w:rsid w:val="00B15449"/>
    <w:rsid w:val="00B15F03"/>
    <w:rsid w:val="00B16C2F"/>
    <w:rsid w:val="00B24FAD"/>
    <w:rsid w:val="00B27303"/>
    <w:rsid w:val="00B33F5B"/>
    <w:rsid w:val="00B36320"/>
    <w:rsid w:val="00B3686A"/>
    <w:rsid w:val="00B4008F"/>
    <w:rsid w:val="00B44B65"/>
    <w:rsid w:val="00B47FD1"/>
    <w:rsid w:val="00B516BB"/>
    <w:rsid w:val="00B52183"/>
    <w:rsid w:val="00B602FB"/>
    <w:rsid w:val="00B6687A"/>
    <w:rsid w:val="00B725E8"/>
    <w:rsid w:val="00B7538C"/>
    <w:rsid w:val="00B760BE"/>
    <w:rsid w:val="00B766D9"/>
    <w:rsid w:val="00B800D3"/>
    <w:rsid w:val="00B82964"/>
    <w:rsid w:val="00B83286"/>
    <w:rsid w:val="00B84DB2"/>
    <w:rsid w:val="00B90D8F"/>
    <w:rsid w:val="00B92172"/>
    <w:rsid w:val="00B943BE"/>
    <w:rsid w:val="00B95D8E"/>
    <w:rsid w:val="00B97296"/>
    <w:rsid w:val="00BA446F"/>
    <w:rsid w:val="00BB3B62"/>
    <w:rsid w:val="00BB4C90"/>
    <w:rsid w:val="00BB5446"/>
    <w:rsid w:val="00BC08C2"/>
    <w:rsid w:val="00BC1EE8"/>
    <w:rsid w:val="00BC3555"/>
    <w:rsid w:val="00BC3FBC"/>
    <w:rsid w:val="00BC41F7"/>
    <w:rsid w:val="00BD69C4"/>
    <w:rsid w:val="00BD7E8A"/>
    <w:rsid w:val="00BE2E3E"/>
    <w:rsid w:val="00BF00BB"/>
    <w:rsid w:val="00BF474D"/>
    <w:rsid w:val="00BF78C7"/>
    <w:rsid w:val="00BF7AB2"/>
    <w:rsid w:val="00C04E17"/>
    <w:rsid w:val="00C055EF"/>
    <w:rsid w:val="00C10F36"/>
    <w:rsid w:val="00C11663"/>
    <w:rsid w:val="00C12B51"/>
    <w:rsid w:val="00C14F8D"/>
    <w:rsid w:val="00C151A9"/>
    <w:rsid w:val="00C20203"/>
    <w:rsid w:val="00C20D1A"/>
    <w:rsid w:val="00C23299"/>
    <w:rsid w:val="00C235E8"/>
    <w:rsid w:val="00C24650"/>
    <w:rsid w:val="00C25465"/>
    <w:rsid w:val="00C274BC"/>
    <w:rsid w:val="00C3051C"/>
    <w:rsid w:val="00C31AA5"/>
    <w:rsid w:val="00C33079"/>
    <w:rsid w:val="00C447FB"/>
    <w:rsid w:val="00C464B2"/>
    <w:rsid w:val="00C47716"/>
    <w:rsid w:val="00C51318"/>
    <w:rsid w:val="00C52537"/>
    <w:rsid w:val="00C5485D"/>
    <w:rsid w:val="00C55721"/>
    <w:rsid w:val="00C55A12"/>
    <w:rsid w:val="00C60A19"/>
    <w:rsid w:val="00C6553E"/>
    <w:rsid w:val="00C7694C"/>
    <w:rsid w:val="00C83A13"/>
    <w:rsid w:val="00C84CF8"/>
    <w:rsid w:val="00C856FB"/>
    <w:rsid w:val="00C86F10"/>
    <w:rsid w:val="00C9068C"/>
    <w:rsid w:val="00C91C6F"/>
    <w:rsid w:val="00C92967"/>
    <w:rsid w:val="00C96DC5"/>
    <w:rsid w:val="00CA3D0C"/>
    <w:rsid w:val="00CA3FD3"/>
    <w:rsid w:val="00CA4E19"/>
    <w:rsid w:val="00CA654B"/>
    <w:rsid w:val="00CB3CA0"/>
    <w:rsid w:val="00CB72B8"/>
    <w:rsid w:val="00CC6FAD"/>
    <w:rsid w:val="00CD0BA8"/>
    <w:rsid w:val="00CD1D0F"/>
    <w:rsid w:val="00CD4C7B"/>
    <w:rsid w:val="00CD55C7"/>
    <w:rsid w:val="00CD58FE"/>
    <w:rsid w:val="00CE26BD"/>
    <w:rsid w:val="00CF0B90"/>
    <w:rsid w:val="00CF71C9"/>
    <w:rsid w:val="00D04024"/>
    <w:rsid w:val="00D0632F"/>
    <w:rsid w:val="00D06A0E"/>
    <w:rsid w:val="00D11AEC"/>
    <w:rsid w:val="00D1312C"/>
    <w:rsid w:val="00D1580B"/>
    <w:rsid w:val="00D3153F"/>
    <w:rsid w:val="00D31B60"/>
    <w:rsid w:val="00D33BE3"/>
    <w:rsid w:val="00D3792D"/>
    <w:rsid w:val="00D465FF"/>
    <w:rsid w:val="00D50176"/>
    <w:rsid w:val="00D54820"/>
    <w:rsid w:val="00D55E47"/>
    <w:rsid w:val="00D5638C"/>
    <w:rsid w:val="00D56D02"/>
    <w:rsid w:val="00D60FBF"/>
    <w:rsid w:val="00D62E19"/>
    <w:rsid w:val="00D67CD1"/>
    <w:rsid w:val="00D70789"/>
    <w:rsid w:val="00D7088F"/>
    <w:rsid w:val="00D738D6"/>
    <w:rsid w:val="00D80795"/>
    <w:rsid w:val="00D839AB"/>
    <w:rsid w:val="00D854BE"/>
    <w:rsid w:val="00D87E00"/>
    <w:rsid w:val="00D9134D"/>
    <w:rsid w:val="00D93DF2"/>
    <w:rsid w:val="00D94D09"/>
    <w:rsid w:val="00D96519"/>
    <w:rsid w:val="00D968B1"/>
    <w:rsid w:val="00D96D11"/>
    <w:rsid w:val="00DA0B42"/>
    <w:rsid w:val="00DA121D"/>
    <w:rsid w:val="00DA15C0"/>
    <w:rsid w:val="00DA2C39"/>
    <w:rsid w:val="00DA3D77"/>
    <w:rsid w:val="00DA5BFF"/>
    <w:rsid w:val="00DA5FC1"/>
    <w:rsid w:val="00DA7A03"/>
    <w:rsid w:val="00DB0DB8"/>
    <w:rsid w:val="00DB1818"/>
    <w:rsid w:val="00DB7D72"/>
    <w:rsid w:val="00DC05E9"/>
    <w:rsid w:val="00DC309B"/>
    <w:rsid w:val="00DC4DA2"/>
    <w:rsid w:val="00DC5261"/>
    <w:rsid w:val="00DC5C47"/>
    <w:rsid w:val="00DC65DD"/>
    <w:rsid w:val="00DD473B"/>
    <w:rsid w:val="00DD7B18"/>
    <w:rsid w:val="00DE25D2"/>
    <w:rsid w:val="00DF57B0"/>
    <w:rsid w:val="00DF7C20"/>
    <w:rsid w:val="00E038FB"/>
    <w:rsid w:val="00E044A8"/>
    <w:rsid w:val="00E15490"/>
    <w:rsid w:val="00E17F2B"/>
    <w:rsid w:val="00E2146E"/>
    <w:rsid w:val="00E24B82"/>
    <w:rsid w:val="00E3084E"/>
    <w:rsid w:val="00E33461"/>
    <w:rsid w:val="00E41851"/>
    <w:rsid w:val="00E43B53"/>
    <w:rsid w:val="00E46C08"/>
    <w:rsid w:val="00E471CF"/>
    <w:rsid w:val="00E51061"/>
    <w:rsid w:val="00E53C45"/>
    <w:rsid w:val="00E5476F"/>
    <w:rsid w:val="00E62835"/>
    <w:rsid w:val="00E6331B"/>
    <w:rsid w:val="00E63C4C"/>
    <w:rsid w:val="00E6480E"/>
    <w:rsid w:val="00E66770"/>
    <w:rsid w:val="00E7360B"/>
    <w:rsid w:val="00E74CE1"/>
    <w:rsid w:val="00E77200"/>
    <w:rsid w:val="00E77645"/>
    <w:rsid w:val="00E80A13"/>
    <w:rsid w:val="00E83697"/>
    <w:rsid w:val="00E859B6"/>
    <w:rsid w:val="00E85EEC"/>
    <w:rsid w:val="00E904D3"/>
    <w:rsid w:val="00E94BA7"/>
    <w:rsid w:val="00E9798A"/>
    <w:rsid w:val="00EA1A29"/>
    <w:rsid w:val="00EA260C"/>
    <w:rsid w:val="00EA66C9"/>
    <w:rsid w:val="00EA68ED"/>
    <w:rsid w:val="00EA6A48"/>
    <w:rsid w:val="00EB2F35"/>
    <w:rsid w:val="00EB3530"/>
    <w:rsid w:val="00EB5D32"/>
    <w:rsid w:val="00EC0D45"/>
    <w:rsid w:val="00EC4A25"/>
    <w:rsid w:val="00EC6B48"/>
    <w:rsid w:val="00ED0BE9"/>
    <w:rsid w:val="00ED26DF"/>
    <w:rsid w:val="00EE212B"/>
    <w:rsid w:val="00EE39A1"/>
    <w:rsid w:val="00EF194D"/>
    <w:rsid w:val="00EF2780"/>
    <w:rsid w:val="00EF4BB5"/>
    <w:rsid w:val="00EF5C9C"/>
    <w:rsid w:val="00EF612C"/>
    <w:rsid w:val="00F01A36"/>
    <w:rsid w:val="00F025A2"/>
    <w:rsid w:val="00F036E9"/>
    <w:rsid w:val="00F07388"/>
    <w:rsid w:val="00F11AB1"/>
    <w:rsid w:val="00F2026E"/>
    <w:rsid w:val="00F213A7"/>
    <w:rsid w:val="00F2210A"/>
    <w:rsid w:val="00F238B5"/>
    <w:rsid w:val="00F27B81"/>
    <w:rsid w:val="00F31372"/>
    <w:rsid w:val="00F326C1"/>
    <w:rsid w:val="00F37743"/>
    <w:rsid w:val="00F37D58"/>
    <w:rsid w:val="00F436AF"/>
    <w:rsid w:val="00F46714"/>
    <w:rsid w:val="00F500CE"/>
    <w:rsid w:val="00F54A3D"/>
    <w:rsid w:val="00F54CB0"/>
    <w:rsid w:val="00F579CD"/>
    <w:rsid w:val="00F608D0"/>
    <w:rsid w:val="00F653B8"/>
    <w:rsid w:val="00F71B89"/>
    <w:rsid w:val="00F72827"/>
    <w:rsid w:val="00F7353C"/>
    <w:rsid w:val="00F76F8F"/>
    <w:rsid w:val="00F82450"/>
    <w:rsid w:val="00F87257"/>
    <w:rsid w:val="00F92CE1"/>
    <w:rsid w:val="00F93277"/>
    <w:rsid w:val="00F941DF"/>
    <w:rsid w:val="00F96659"/>
    <w:rsid w:val="00FA1266"/>
    <w:rsid w:val="00FA23CA"/>
    <w:rsid w:val="00FA4279"/>
    <w:rsid w:val="00FA4B90"/>
    <w:rsid w:val="00FA5D91"/>
    <w:rsid w:val="00FA797D"/>
    <w:rsid w:val="00FA7AF4"/>
    <w:rsid w:val="00FB36FA"/>
    <w:rsid w:val="00FB3BC0"/>
    <w:rsid w:val="00FB5727"/>
    <w:rsid w:val="00FC1192"/>
    <w:rsid w:val="00FC37DF"/>
    <w:rsid w:val="00FC7FC5"/>
    <w:rsid w:val="00FD2285"/>
    <w:rsid w:val="00FD24C2"/>
    <w:rsid w:val="00FE0FEF"/>
    <w:rsid w:val="00FE106D"/>
    <w:rsid w:val="00FE1E5B"/>
    <w:rsid w:val="00FE251B"/>
    <w:rsid w:val="00FF1714"/>
    <w:rsid w:val="00FF2E49"/>
    <w:rsid w:val="00FF59AE"/>
    <w:rsid w:val="00FF65F5"/>
    <w:rsid w:val="011DD668"/>
    <w:rsid w:val="021C23CC"/>
    <w:rsid w:val="02E6CFA4"/>
    <w:rsid w:val="0310197C"/>
    <w:rsid w:val="0398FC94"/>
    <w:rsid w:val="03FD877C"/>
    <w:rsid w:val="040D4EE5"/>
    <w:rsid w:val="043B911C"/>
    <w:rsid w:val="06D62586"/>
    <w:rsid w:val="098E9788"/>
    <w:rsid w:val="09AE75E5"/>
    <w:rsid w:val="0BB1874B"/>
    <w:rsid w:val="0BF028A5"/>
    <w:rsid w:val="0C3EA566"/>
    <w:rsid w:val="0C5CFAD7"/>
    <w:rsid w:val="0C8A071B"/>
    <w:rsid w:val="0EB6D992"/>
    <w:rsid w:val="0FD5CB22"/>
    <w:rsid w:val="0FE99C9F"/>
    <w:rsid w:val="10CC509C"/>
    <w:rsid w:val="10FC169A"/>
    <w:rsid w:val="116D4363"/>
    <w:rsid w:val="1212B885"/>
    <w:rsid w:val="13A30AE8"/>
    <w:rsid w:val="14DF7F10"/>
    <w:rsid w:val="1518A594"/>
    <w:rsid w:val="16A92B0A"/>
    <w:rsid w:val="181728D5"/>
    <w:rsid w:val="1B02E23C"/>
    <w:rsid w:val="1C2AF7C4"/>
    <w:rsid w:val="1D501E2F"/>
    <w:rsid w:val="1F275CF4"/>
    <w:rsid w:val="1FA03A62"/>
    <w:rsid w:val="1FC61A9C"/>
    <w:rsid w:val="215F2B49"/>
    <w:rsid w:val="216EFC92"/>
    <w:rsid w:val="21B4EFA0"/>
    <w:rsid w:val="231E3B6F"/>
    <w:rsid w:val="2420D2C3"/>
    <w:rsid w:val="2719D685"/>
    <w:rsid w:val="275F64EC"/>
    <w:rsid w:val="27FAAA7D"/>
    <w:rsid w:val="29AFBE2A"/>
    <w:rsid w:val="29C0077A"/>
    <w:rsid w:val="29F55037"/>
    <w:rsid w:val="2A832F8E"/>
    <w:rsid w:val="2B632DED"/>
    <w:rsid w:val="2B6AE1AE"/>
    <w:rsid w:val="2BD58701"/>
    <w:rsid w:val="2C6EE359"/>
    <w:rsid w:val="2D7C0915"/>
    <w:rsid w:val="2DD91024"/>
    <w:rsid w:val="2F1E9987"/>
    <w:rsid w:val="3075F653"/>
    <w:rsid w:val="30B801F7"/>
    <w:rsid w:val="3674FC0F"/>
    <w:rsid w:val="37C10B6A"/>
    <w:rsid w:val="39CD0FC9"/>
    <w:rsid w:val="3B533EA8"/>
    <w:rsid w:val="3DEF89D9"/>
    <w:rsid w:val="3EBF0915"/>
    <w:rsid w:val="3F66434E"/>
    <w:rsid w:val="42B9D4E9"/>
    <w:rsid w:val="43ED9F3D"/>
    <w:rsid w:val="4429DB5B"/>
    <w:rsid w:val="4450998A"/>
    <w:rsid w:val="453636CE"/>
    <w:rsid w:val="457482CA"/>
    <w:rsid w:val="45EE4888"/>
    <w:rsid w:val="4661E357"/>
    <w:rsid w:val="495549A6"/>
    <w:rsid w:val="4C95CE18"/>
    <w:rsid w:val="4DF18A1E"/>
    <w:rsid w:val="56497821"/>
    <w:rsid w:val="56A8BB1A"/>
    <w:rsid w:val="570926AB"/>
    <w:rsid w:val="57C38742"/>
    <w:rsid w:val="5853C37C"/>
    <w:rsid w:val="58BFE8C2"/>
    <w:rsid w:val="58F37F79"/>
    <w:rsid w:val="5A6BE881"/>
    <w:rsid w:val="5AEF774C"/>
    <w:rsid w:val="5BF485FC"/>
    <w:rsid w:val="5CB4D0F7"/>
    <w:rsid w:val="5CE1C46D"/>
    <w:rsid w:val="5F3942B3"/>
    <w:rsid w:val="5F8D0805"/>
    <w:rsid w:val="60412510"/>
    <w:rsid w:val="6135B746"/>
    <w:rsid w:val="62023E33"/>
    <w:rsid w:val="6337D9A9"/>
    <w:rsid w:val="65B1FA84"/>
    <w:rsid w:val="66996EBD"/>
    <w:rsid w:val="67A2C7C6"/>
    <w:rsid w:val="682DE1AF"/>
    <w:rsid w:val="691C3982"/>
    <w:rsid w:val="69C9EF61"/>
    <w:rsid w:val="6CEDC9F0"/>
    <w:rsid w:val="6EA282ED"/>
    <w:rsid w:val="6FAE0C7C"/>
    <w:rsid w:val="71BCCD6D"/>
    <w:rsid w:val="7244F4E3"/>
    <w:rsid w:val="7594C6DD"/>
    <w:rsid w:val="762867AE"/>
    <w:rsid w:val="7806D219"/>
    <w:rsid w:val="7862A681"/>
    <w:rsid w:val="788BA721"/>
    <w:rsid w:val="7A6EC3C5"/>
    <w:rsid w:val="7AB7A5D0"/>
    <w:rsid w:val="7C5D0A43"/>
    <w:rsid w:val="7D8FCEA7"/>
    <w:rsid w:val="7DA0966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44DE5"/>
  <w15:docId w15:val="{944474FF-2D61-4D21-8AC8-382EFF71A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191C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191CD9"/>
    <w:pPr>
      <w:spacing w:before="100" w:beforeAutospacing="1" w:after="100" w:afterAutospacing="1"/>
    </w:pPr>
    <w:rPr>
      <w:sz w:val="24"/>
      <w:szCs w:val="24"/>
      <w:lang w:val="de-DE" w:eastAsia="de-DE"/>
    </w:rPr>
  </w:style>
  <w:style w:type="character" w:customStyle="1" w:styleId="normaltextrun">
    <w:name w:val="normaltextrun"/>
    <w:basedOn w:val="DefaultParagraphFont"/>
    <w:rsid w:val="00191CD9"/>
  </w:style>
  <w:style w:type="character" w:customStyle="1" w:styleId="eop">
    <w:name w:val="eop"/>
    <w:basedOn w:val="DefaultParagraphFont"/>
    <w:rsid w:val="00191CD9"/>
  </w:style>
  <w:style w:type="character" w:customStyle="1" w:styleId="scxw57250226">
    <w:name w:val="scxw57250226"/>
    <w:basedOn w:val="DefaultParagraphFont"/>
    <w:rsid w:val="00191CD9"/>
  </w:style>
  <w:style w:type="paragraph" w:customStyle="1" w:styleId="Agreement">
    <w:name w:val="Agreement"/>
    <w:basedOn w:val="Normal"/>
    <w:next w:val="Normal"/>
    <w:uiPriority w:val="99"/>
    <w:qFormat/>
    <w:rsid w:val="00191CD9"/>
    <w:pPr>
      <w:numPr>
        <w:numId w:val="10"/>
      </w:numPr>
      <w:spacing w:before="60" w:after="0"/>
    </w:pPr>
    <w:rPr>
      <w:rFonts w:ascii="Arial" w:eastAsia="MS Mincho" w:hAnsi="Arial"/>
      <w:b/>
      <w:szCs w:val="24"/>
      <w:lang w:eastAsia="en-GB"/>
    </w:rPr>
  </w:style>
  <w:style w:type="paragraph" w:styleId="Caption">
    <w:name w:val="caption"/>
    <w:basedOn w:val="Normal"/>
    <w:next w:val="Normal"/>
    <w:uiPriority w:val="35"/>
    <w:unhideWhenUsed/>
    <w:qFormat/>
    <w:rsid w:val="00925938"/>
    <w:pPr>
      <w:spacing w:after="240"/>
    </w:pPr>
    <w:rPr>
      <w:rFonts w:ascii="Arial" w:eastAsiaTheme="minorHAnsi" w:hAnsi="Arial" w:cs="Arial"/>
      <w:iCs/>
      <w:sz w:val="22"/>
      <w:szCs w:val="18"/>
      <w:lang w:val="en-US"/>
    </w:rPr>
  </w:style>
  <w:style w:type="character" w:customStyle="1" w:styleId="B1Zchn">
    <w:name w:val="B1 Zchn"/>
    <w:link w:val="B1"/>
    <w:qFormat/>
    <w:locked/>
    <w:rsid w:val="00427446"/>
    <w:rPr>
      <w:lang w:eastAsia="en-US"/>
    </w:rPr>
  </w:style>
  <w:style w:type="character" w:customStyle="1" w:styleId="B2Char">
    <w:name w:val="B2 Char"/>
    <w:basedOn w:val="DefaultParagraphFont"/>
    <w:link w:val="B2"/>
    <w:qFormat/>
    <w:locked/>
    <w:rsid w:val="00427446"/>
    <w:rPr>
      <w:lang w:eastAsia="en-US"/>
    </w:rPr>
  </w:style>
  <w:style w:type="character" w:customStyle="1" w:styleId="B3Char2">
    <w:name w:val="B3 Char2"/>
    <w:basedOn w:val="DefaultParagraphFont"/>
    <w:link w:val="B3"/>
    <w:qFormat/>
    <w:locked/>
    <w:rsid w:val="00427446"/>
    <w:rPr>
      <w:lang w:eastAsia="en-US"/>
    </w:rPr>
  </w:style>
  <w:style w:type="character" w:customStyle="1" w:styleId="B4Char">
    <w:name w:val="B4 Char"/>
    <w:basedOn w:val="DefaultParagraphFont"/>
    <w:link w:val="B4"/>
    <w:qFormat/>
    <w:locked/>
    <w:rsid w:val="00427446"/>
    <w:rPr>
      <w:lang w:eastAsia="en-US"/>
    </w:rPr>
  </w:style>
  <w:style w:type="paragraph" w:styleId="ListParagraph">
    <w:name w:val="List Paragraph"/>
    <w:aliases w:val="Bullets,列出段落,- Bullets,?? ??,?????,????,リスト段落,Lista1,列出段落1,中等深浅网格 1 - 着色 21,R4_bullets,列表段落1,—ño’i—Ž,¥¡¡¡¡ì¬º¥¹¥È¶ÎÂä,ÁÐ³ö¶ÎÂä,¥ê¥¹¥È¶ÎÂä,1st level - Bullet List Paragraph,Lettre d'introduction,Paragrafo elenco,Normal bullet 2,列表段落11,목록 "/>
    <w:basedOn w:val="Normal"/>
    <w:link w:val="ListParagraphChar"/>
    <w:uiPriority w:val="34"/>
    <w:qFormat/>
    <w:rsid w:val="00427446"/>
    <w:pPr>
      <w:numPr>
        <w:numId w:val="12"/>
      </w:numPr>
      <w:shd w:val="clear" w:color="auto" w:fill="FFFFFF"/>
      <w:spacing w:after="120"/>
      <w:contextualSpacing/>
    </w:pPr>
    <w:rPr>
      <w:rFonts w:ascii="Arial" w:eastAsiaTheme="minorHAnsi" w:hAnsi="Arial" w:cs="Arial"/>
      <w:sz w:val="22"/>
      <w:lang w:val="en-US"/>
    </w:rPr>
  </w:style>
  <w:style w:type="character" w:customStyle="1" w:styleId="ListParagraphChar">
    <w:name w:val="List Paragraph Char"/>
    <w:aliases w:val="Bullets Char,列出段落 Char,- Bullets Char,?? ?? Char,????? Char,???? Char,リスト段落 Char,Lista1 Char,列出段落1 Char,中等深浅网格 1 - 着色 21 Char,R4_bullets Char,列表段落1 Char,—ño’i—Ž Char,¥¡¡¡¡ì¬º¥¹¥È¶ÎÂä Char,ÁÐ³ö¶ÎÂä Char,¥ê¥¹¥È¶ÎÂä Char,列表段落11 Char"/>
    <w:link w:val="ListParagraph"/>
    <w:uiPriority w:val="34"/>
    <w:qFormat/>
    <w:locked/>
    <w:rsid w:val="00427446"/>
    <w:rPr>
      <w:rFonts w:ascii="Arial" w:eastAsiaTheme="minorHAnsi" w:hAnsi="Arial" w:cs="Arial"/>
      <w:sz w:val="22"/>
      <w:shd w:val="clear" w:color="auto" w:fill="FFFFFF"/>
      <w:lang w:val="en-US" w:eastAsia="en-US"/>
    </w:rPr>
  </w:style>
  <w:style w:type="character" w:styleId="CommentReference">
    <w:name w:val="annotation reference"/>
    <w:basedOn w:val="DefaultParagraphFont"/>
    <w:qFormat/>
    <w:rsid w:val="004A7A6C"/>
    <w:rPr>
      <w:sz w:val="16"/>
      <w:szCs w:val="16"/>
    </w:rPr>
  </w:style>
  <w:style w:type="paragraph" w:styleId="CommentText">
    <w:name w:val="annotation text"/>
    <w:basedOn w:val="Normal"/>
    <w:link w:val="CommentTextChar"/>
    <w:qFormat/>
    <w:rsid w:val="004A7A6C"/>
  </w:style>
  <w:style w:type="character" w:customStyle="1" w:styleId="CommentTextChar">
    <w:name w:val="Comment Text Char"/>
    <w:basedOn w:val="DefaultParagraphFont"/>
    <w:link w:val="CommentText"/>
    <w:qFormat/>
    <w:rsid w:val="004A7A6C"/>
    <w:rPr>
      <w:lang w:eastAsia="en-US"/>
    </w:rPr>
  </w:style>
  <w:style w:type="paragraph" w:styleId="CommentSubject">
    <w:name w:val="annotation subject"/>
    <w:basedOn w:val="CommentText"/>
    <w:next w:val="CommentText"/>
    <w:link w:val="CommentSubjectChar"/>
    <w:rsid w:val="004A7A6C"/>
    <w:rPr>
      <w:b/>
      <w:bCs/>
    </w:rPr>
  </w:style>
  <w:style w:type="character" w:customStyle="1" w:styleId="CommentSubjectChar">
    <w:name w:val="Comment Subject Char"/>
    <w:basedOn w:val="CommentTextChar"/>
    <w:link w:val="CommentSubject"/>
    <w:rsid w:val="004A7A6C"/>
    <w:rPr>
      <w:b/>
      <w:bCs/>
      <w:lang w:eastAsia="en-US"/>
    </w:rPr>
  </w:style>
  <w:style w:type="character" w:customStyle="1" w:styleId="Doc-text2Char">
    <w:name w:val="Doc-text2 Char"/>
    <w:link w:val="Doc-text2"/>
    <w:qFormat/>
    <w:locked/>
    <w:rsid w:val="00D1312C"/>
    <w:rPr>
      <w:rFonts w:ascii="Arial" w:eastAsia="MS Mincho" w:hAnsi="Arial" w:cs="Arial"/>
      <w:szCs w:val="24"/>
    </w:rPr>
  </w:style>
  <w:style w:type="paragraph" w:customStyle="1" w:styleId="Doc-text2">
    <w:name w:val="Doc-text2"/>
    <w:basedOn w:val="Normal"/>
    <w:link w:val="Doc-text2Char"/>
    <w:qFormat/>
    <w:rsid w:val="00D1312C"/>
    <w:pPr>
      <w:tabs>
        <w:tab w:val="left" w:pos="1622"/>
      </w:tabs>
      <w:spacing w:after="0"/>
      <w:ind w:left="1622" w:hanging="363"/>
    </w:pPr>
    <w:rPr>
      <w:rFonts w:ascii="Arial" w:eastAsia="MS Mincho" w:hAnsi="Arial" w:cs="Arial"/>
      <w:szCs w:val="24"/>
      <w:lang w:eastAsia="en-GB"/>
    </w:rPr>
  </w:style>
  <w:style w:type="character" w:styleId="Mention">
    <w:name w:val="Mention"/>
    <w:basedOn w:val="DefaultParagraphFont"/>
    <w:uiPriority w:val="99"/>
    <w:unhideWhenUsed/>
    <w:rsid w:val="00EF194D"/>
    <w:rPr>
      <w:color w:val="2B579A"/>
      <w:shd w:val="clear" w:color="auto" w:fill="E1DFDD"/>
    </w:rPr>
  </w:style>
  <w:style w:type="paragraph" w:styleId="Revision">
    <w:name w:val="Revision"/>
    <w:hidden/>
    <w:uiPriority w:val="99"/>
    <w:semiHidden/>
    <w:rsid w:val="00DC05E9"/>
    <w:rPr>
      <w:lang w:eastAsia="en-US"/>
    </w:rPr>
  </w:style>
  <w:style w:type="paragraph" w:styleId="NormalWeb">
    <w:name w:val="Normal (Web)"/>
    <w:basedOn w:val="Normal"/>
    <w:uiPriority w:val="99"/>
    <w:unhideWhenUsed/>
    <w:rsid w:val="00DC05E9"/>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706614">
      <w:bodyDiv w:val="1"/>
      <w:marLeft w:val="0"/>
      <w:marRight w:val="0"/>
      <w:marTop w:val="0"/>
      <w:marBottom w:val="0"/>
      <w:divBdr>
        <w:top w:val="none" w:sz="0" w:space="0" w:color="auto"/>
        <w:left w:val="none" w:sz="0" w:space="0" w:color="auto"/>
        <w:bottom w:val="none" w:sz="0" w:space="0" w:color="auto"/>
        <w:right w:val="none" w:sz="0" w:space="0" w:color="auto"/>
      </w:divBdr>
      <w:divsChild>
        <w:div w:id="1209224917">
          <w:marLeft w:val="0"/>
          <w:marRight w:val="0"/>
          <w:marTop w:val="0"/>
          <w:marBottom w:val="0"/>
          <w:divBdr>
            <w:top w:val="none" w:sz="0" w:space="0" w:color="auto"/>
            <w:left w:val="none" w:sz="0" w:space="0" w:color="auto"/>
            <w:bottom w:val="none" w:sz="0" w:space="0" w:color="auto"/>
            <w:right w:val="none" w:sz="0" w:space="0" w:color="auto"/>
          </w:divBdr>
          <w:divsChild>
            <w:div w:id="256527307">
              <w:marLeft w:val="0"/>
              <w:marRight w:val="0"/>
              <w:marTop w:val="0"/>
              <w:marBottom w:val="0"/>
              <w:divBdr>
                <w:top w:val="none" w:sz="0" w:space="0" w:color="auto"/>
                <w:left w:val="none" w:sz="0" w:space="0" w:color="auto"/>
                <w:bottom w:val="none" w:sz="0" w:space="0" w:color="auto"/>
                <w:right w:val="none" w:sz="0" w:space="0" w:color="auto"/>
              </w:divBdr>
            </w:div>
            <w:div w:id="589437632">
              <w:marLeft w:val="0"/>
              <w:marRight w:val="0"/>
              <w:marTop w:val="0"/>
              <w:marBottom w:val="0"/>
              <w:divBdr>
                <w:top w:val="none" w:sz="0" w:space="0" w:color="auto"/>
                <w:left w:val="none" w:sz="0" w:space="0" w:color="auto"/>
                <w:bottom w:val="none" w:sz="0" w:space="0" w:color="auto"/>
                <w:right w:val="none" w:sz="0" w:space="0" w:color="auto"/>
              </w:divBdr>
            </w:div>
            <w:div w:id="679313166">
              <w:marLeft w:val="0"/>
              <w:marRight w:val="0"/>
              <w:marTop w:val="0"/>
              <w:marBottom w:val="0"/>
              <w:divBdr>
                <w:top w:val="none" w:sz="0" w:space="0" w:color="auto"/>
                <w:left w:val="none" w:sz="0" w:space="0" w:color="auto"/>
                <w:bottom w:val="none" w:sz="0" w:space="0" w:color="auto"/>
                <w:right w:val="none" w:sz="0" w:space="0" w:color="auto"/>
              </w:divBdr>
            </w:div>
            <w:div w:id="1064448110">
              <w:marLeft w:val="0"/>
              <w:marRight w:val="0"/>
              <w:marTop w:val="0"/>
              <w:marBottom w:val="0"/>
              <w:divBdr>
                <w:top w:val="none" w:sz="0" w:space="0" w:color="auto"/>
                <w:left w:val="none" w:sz="0" w:space="0" w:color="auto"/>
                <w:bottom w:val="none" w:sz="0" w:space="0" w:color="auto"/>
                <w:right w:val="none" w:sz="0" w:space="0" w:color="auto"/>
              </w:divBdr>
            </w:div>
            <w:div w:id="1452824113">
              <w:marLeft w:val="0"/>
              <w:marRight w:val="0"/>
              <w:marTop w:val="0"/>
              <w:marBottom w:val="0"/>
              <w:divBdr>
                <w:top w:val="none" w:sz="0" w:space="0" w:color="auto"/>
                <w:left w:val="none" w:sz="0" w:space="0" w:color="auto"/>
                <w:bottom w:val="none" w:sz="0" w:space="0" w:color="auto"/>
                <w:right w:val="none" w:sz="0" w:space="0" w:color="auto"/>
              </w:divBdr>
            </w:div>
            <w:div w:id="2119251466">
              <w:marLeft w:val="0"/>
              <w:marRight w:val="0"/>
              <w:marTop w:val="0"/>
              <w:marBottom w:val="0"/>
              <w:divBdr>
                <w:top w:val="none" w:sz="0" w:space="0" w:color="auto"/>
                <w:left w:val="none" w:sz="0" w:space="0" w:color="auto"/>
                <w:bottom w:val="none" w:sz="0" w:space="0" w:color="auto"/>
                <w:right w:val="none" w:sz="0" w:space="0" w:color="auto"/>
              </w:divBdr>
            </w:div>
          </w:divsChild>
        </w:div>
        <w:div w:id="1490753241">
          <w:marLeft w:val="0"/>
          <w:marRight w:val="0"/>
          <w:marTop w:val="0"/>
          <w:marBottom w:val="0"/>
          <w:divBdr>
            <w:top w:val="none" w:sz="0" w:space="0" w:color="auto"/>
            <w:left w:val="none" w:sz="0" w:space="0" w:color="auto"/>
            <w:bottom w:val="none" w:sz="0" w:space="0" w:color="auto"/>
            <w:right w:val="none" w:sz="0" w:space="0" w:color="auto"/>
          </w:divBdr>
        </w:div>
        <w:div w:id="1564174063">
          <w:marLeft w:val="0"/>
          <w:marRight w:val="0"/>
          <w:marTop w:val="0"/>
          <w:marBottom w:val="0"/>
          <w:divBdr>
            <w:top w:val="none" w:sz="0" w:space="0" w:color="auto"/>
            <w:left w:val="none" w:sz="0" w:space="0" w:color="auto"/>
            <w:bottom w:val="none" w:sz="0" w:space="0" w:color="auto"/>
            <w:right w:val="none" w:sz="0" w:space="0" w:color="auto"/>
          </w:divBdr>
        </w:div>
      </w:divsChild>
    </w:div>
    <w:div w:id="518273150">
      <w:bodyDiv w:val="1"/>
      <w:marLeft w:val="0"/>
      <w:marRight w:val="0"/>
      <w:marTop w:val="0"/>
      <w:marBottom w:val="0"/>
      <w:divBdr>
        <w:top w:val="none" w:sz="0" w:space="0" w:color="auto"/>
        <w:left w:val="none" w:sz="0" w:space="0" w:color="auto"/>
        <w:bottom w:val="none" w:sz="0" w:space="0" w:color="auto"/>
        <w:right w:val="none" w:sz="0" w:space="0" w:color="auto"/>
      </w:divBdr>
      <w:divsChild>
        <w:div w:id="531235592">
          <w:marLeft w:val="0"/>
          <w:marRight w:val="0"/>
          <w:marTop w:val="0"/>
          <w:marBottom w:val="0"/>
          <w:divBdr>
            <w:top w:val="none" w:sz="0" w:space="0" w:color="auto"/>
            <w:left w:val="none" w:sz="0" w:space="0" w:color="auto"/>
            <w:bottom w:val="none" w:sz="0" w:space="0" w:color="auto"/>
            <w:right w:val="none" w:sz="0" w:space="0" w:color="auto"/>
          </w:divBdr>
        </w:div>
        <w:div w:id="985550554">
          <w:marLeft w:val="0"/>
          <w:marRight w:val="0"/>
          <w:marTop w:val="0"/>
          <w:marBottom w:val="0"/>
          <w:divBdr>
            <w:top w:val="none" w:sz="0" w:space="0" w:color="auto"/>
            <w:left w:val="none" w:sz="0" w:space="0" w:color="auto"/>
            <w:bottom w:val="none" w:sz="0" w:space="0" w:color="auto"/>
            <w:right w:val="none" w:sz="0" w:space="0" w:color="auto"/>
          </w:divBdr>
        </w:div>
        <w:div w:id="1453330998">
          <w:marLeft w:val="0"/>
          <w:marRight w:val="0"/>
          <w:marTop w:val="0"/>
          <w:marBottom w:val="0"/>
          <w:divBdr>
            <w:top w:val="none" w:sz="0" w:space="0" w:color="auto"/>
            <w:left w:val="none" w:sz="0" w:space="0" w:color="auto"/>
            <w:bottom w:val="none" w:sz="0" w:space="0" w:color="auto"/>
            <w:right w:val="none" w:sz="0" w:space="0" w:color="auto"/>
          </w:divBdr>
          <w:divsChild>
            <w:div w:id="43019641">
              <w:marLeft w:val="0"/>
              <w:marRight w:val="0"/>
              <w:marTop w:val="0"/>
              <w:marBottom w:val="0"/>
              <w:divBdr>
                <w:top w:val="none" w:sz="0" w:space="0" w:color="auto"/>
                <w:left w:val="none" w:sz="0" w:space="0" w:color="auto"/>
                <w:bottom w:val="none" w:sz="0" w:space="0" w:color="auto"/>
                <w:right w:val="none" w:sz="0" w:space="0" w:color="auto"/>
              </w:divBdr>
            </w:div>
            <w:div w:id="851139804">
              <w:marLeft w:val="0"/>
              <w:marRight w:val="0"/>
              <w:marTop w:val="0"/>
              <w:marBottom w:val="0"/>
              <w:divBdr>
                <w:top w:val="none" w:sz="0" w:space="0" w:color="auto"/>
                <w:left w:val="none" w:sz="0" w:space="0" w:color="auto"/>
                <w:bottom w:val="none" w:sz="0" w:space="0" w:color="auto"/>
                <w:right w:val="none" w:sz="0" w:space="0" w:color="auto"/>
              </w:divBdr>
            </w:div>
            <w:div w:id="1578590169">
              <w:marLeft w:val="0"/>
              <w:marRight w:val="0"/>
              <w:marTop w:val="0"/>
              <w:marBottom w:val="0"/>
              <w:divBdr>
                <w:top w:val="none" w:sz="0" w:space="0" w:color="auto"/>
                <w:left w:val="none" w:sz="0" w:space="0" w:color="auto"/>
                <w:bottom w:val="none" w:sz="0" w:space="0" w:color="auto"/>
                <w:right w:val="none" w:sz="0" w:space="0" w:color="auto"/>
              </w:divBdr>
            </w:div>
            <w:div w:id="1631782846">
              <w:marLeft w:val="0"/>
              <w:marRight w:val="0"/>
              <w:marTop w:val="0"/>
              <w:marBottom w:val="0"/>
              <w:divBdr>
                <w:top w:val="none" w:sz="0" w:space="0" w:color="auto"/>
                <w:left w:val="none" w:sz="0" w:space="0" w:color="auto"/>
                <w:bottom w:val="none" w:sz="0" w:space="0" w:color="auto"/>
                <w:right w:val="none" w:sz="0" w:space="0" w:color="auto"/>
              </w:divBdr>
            </w:div>
            <w:div w:id="1663241569">
              <w:marLeft w:val="0"/>
              <w:marRight w:val="0"/>
              <w:marTop w:val="0"/>
              <w:marBottom w:val="0"/>
              <w:divBdr>
                <w:top w:val="none" w:sz="0" w:space="0" w:color="auto"/>
                <w:left w:val="none" w:sz="0" w:space="0" w:color="auto"/>
                <w:bottom w:val="none" w:sz="0" w:space="0" w:color="auto"/>
                <w:right w:val="none" w:sz="0" w:space="0" w:color="auto"/>
              </w:divBdr>
            </w:div>
            <w:div w:id="1956667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09632824">
      <w:bodyDiv w:val="1"/>
      <w:marLeft w:val="0"/>
      <w:marRight w:val="0"/>
      <w:marTop w:val="0"/>
      <w:marBottom w:val="0"/>
      <w:divBdr>
        <w:top w:val="none" w:sz="0" w:space="0" w:color="auto"/>
        <w:left w:val="none" w:sz="0" w:space="0" w:color="auto"/>
        <w:bottom w:val="none" w:sz="0" w:space="0" w:color="auto"/>
        <w:right w:val="none" w:sz="0" w:space="0" w:color="auto"/>
      </w:divBdr>
    </w:div>
    <w:div w:id="1525629849">
      <w:bodyDiv w:val="1"/>
      <w:marLeft w:val="0"/>
      <w:marRight w:val="0"/>
      <w:marTop w:val="0"/>
      <w:marBottom w:val="0"/>
      <w:divBdr>
        <w:top w:val="none" w:sz="0" w:space="0" w:color="auto"/>
        <w:left w:val="none" w:sz="0" w:space="0" w:color="auto"/>
        <w:bottom w:val="none" w:sz="0" w:space="0" w:color="auto"/>
        <w:right w:val="none" w:sz="0" w:space="0" w:color="auto"/>
      </w:divBdr>
    </w:div>
    <w:div w:id="21085716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5AIRPNAIUNRU-859666464-15251</_dlc_DocId>
    <_dlc_DocIdUrl xmlns="71c5aaf6-e6ce-465b-b873-5148d2a4c105">
      <Url>https://nokia.sharepoint.com/sites/c5g/e2earch/_layouts/15/DocIdRedir.aspx?ID=5AIRPNAIUNRU-859666464-15251</Url>
      <Description>5AIRPNAIUNRU-859666464-15251</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1147F7FD-4FF0-4BDC-A4F3-7399EEBC56EA}">
  <ds:schemaRefs>
    <ds:schemaRef ds:uri="http://schemas.openxmlformats.org/officeDocument/2006/bibliography"/>
  </ds:schemaRefs>
</ds:datastoreItem>
</file>

<file path=customXml/itemProps4.xml><?xml version="1.0" encoding="utf-8"?>
<ds:datastoreItem xmlns:ds="http://schemas.openxmlformats.org/officeDocument/2006/customXml" ds:itemID="{2B8C33ED-702B-459A-8F81-1F8C06354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6</TotalTime>
  <Pages>5</Pages>
  <Words>2543</Words>
  <Characters>14498</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17007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Endrit Dosti (Nokia)</cp:lastModifiedBy>
  <cp:revision>13</cp:revision>
  <dcterms:created xsi:type="dcterms:W3CDTF">2023-09-29T08:38:00Z</dcterms:created>
  <dcterms:modified xsi:type="dcterms:W3CDTF">2023-09-29T08:49:00Z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e9a5c155-b077-4f77-a06d-c6ff3808e77f</vt:lpwstr>
  </property>
  <property fmtid="{D5CDD505-2E9C-101B-9397-08002B2CF9AE}" pid="4" name="MediaServiceImageTags">
    <vt:lpwstr/>
  </property>
</Properties>
</file>